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黑体"/>
          <w:sz w:val="44"/>
          <w:szCs w:val="44"/>
        </w:rPr>
      </w:pPr>
    </w:p>
    <w:p>
      <w:pPr>
        <w:jc w:val="center"/>
        <w:rPr>
          <w:rFonts w:ascii="微软雅黑" w:hAnsi="微软雅黑" w:eastAsia="微软雅黑" w:cs="黑体"/>
          <w:sz w:val="44"/>
          <w:szCs w:val="44"/>
        </w:rPr>
      </w:pPr>
    </w:p>
    <w:p>
      <w:pPr>
        <w:jc w:val="center"/>
        <w:rPr>
          <w:rFonts w:ascii="微软雅黑" w:hAnsi="微软雅黑" w:eastAsia="微软雅黑" w:cs="黑体"/>
          <w:sz w:val="44"/>
          <w:szCs w:val="44"/>
        </w:rPr>
      </w:pPr>
      <w:r>
        <w:rPr>
          <w:rFonts w:ascii="微软雅黑" w:hAnsi="微软雅黑" w:eastAsia="微软雅黑" w:cs="黑体"/>
          <w:sz w:val="44"/>
          <w:szCs w:val="44"/>
        </w:rPr>
        <w:drawing>
          <wp:inline distT="0" distB="0" distL="0" distR="0">
            <wp:extent cx="3682365" cy="819150"/>
            <wp:effectExtent l="0" t="0" r="13335" b="0"/>
            <wp:docPr id="1" name="图片 1" descr="C:\Users\Administrator\Desktop\学校标志\柳州市交通学校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学校标志\柳州市交通学校LOGO.png"/>
                    <pic:cNvPicPr>
                      <a:picLocks noChangeAspect="1" noChangeArrowheads="1"/>
                    </pic:cNvPicPr>
                  </pic:nvPicPr>
                  <pic:blipFill>
                    <a:blip r:embed="rId6" cstate="print"/>
                    <a:srcRect/>
                    <a:stretch>
                      <a:fillRect/>
                    </a:stretch>
                  </pic:blipFill>
                  <pic:spPr>
                    <a:xfrm>
                      <a:off x="0" y="0"/>
                      <a:ext cx="3682673" cy="819150"/>
                    </a:xfrm>
                    <a:prstGeom prst="rect">
                      <a:avLst/>
                    </a:prstGeom>
                    <a:noFill/>
                    <a:ln w="9525">
                      <a:noFill/>
                      <a:miter lim="800000"/>
                      <a:headEnd/>
                      <a:tailEnd/>
                    </a:ln>
                  </pic:spPr>
                </pic:pic>
              </a:graphicData>
            </a:graphic>
          </wp:inline>
        </w:drawing>
      </w: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52"/>
          <w:szCs w:val="52"/>
        </w:rPr>
      </w:pPr>
    </w:p>
    <w:p>
      <w:pPr>
        <w:spacing w:line="660" w:lineRule="exact"/>
        <w:jc w:val="center"/>
        <w:rPr>
          <w:rFonts w:hint="eastAsia" w:ascii="微软雅黑" w:hAnsi="微软雅黑" w:eastAsia="微软雅黑" w:cs="黑体"/>
          <w:sz w:val="52"/>
          <w:szCs w:val="52"/>
        </w:rPr>
      </w:pPr>
      <w:r>
        <w:rPr>
          <w:rFonts w:hint="eastAsia" w:ascii="微软雅黑" w:hAnsi="微软雅黑" w:eastAsia="微软雅黑" w:cs="黑体"/>
          <w:sz w:val="52"/>
          <w:szCs w:val="52"/>
        </w:rPr>
        <w:t>中等职业学校教育质量年度报告</w:t>
      </w:r>
    </w:p>
    <w:p>
      <w:pPr>
        <w:spacing w:line="660" w:lineRule="exact"/>
        <w:jc w:val="center"/>
        <w:rPr>
          <w:rFonts w:hint="default" w:ascii="微软雅黑" w:hAnsi="微软雅黑" w:eastAsia="微软雅黑" w:cs="黑体"/>
          <w:sz w:val="40"/>
          <w:szCs w:val="40"/>
          <w:lang w:val="en-US" w:eastAsia="zh-CN"/>
        </w:rPr>
      </w:pPr>
      <w:r>
        <w:rPr>
          <w:rFonts w:hint="eastAsia" w:ascii="微软雅黑" w:hAnsi="微软雅黑" w:eastAsia="微软雅黑" w:cs="黑体"/>
          <w:sz w:val="40"/>
          <w:szCs w:val="40"/>
          <w:lang w:val="en-US" w:eastAsia="zh-CN"/>
        </w:rPr>
        <w:t>—2019年度—</w:t>
      </w: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spacing w:line="660" w:lineRule="exact"/>
        <w:jc w:val="center"/>
        <w:rPr>
          <w:rFonts w:ascii="微软雅黑" w:hAnsi="微软雅黑" w:eastAsia="微软雅黑" w:cs="黑体"/>
          <w:sz w:val="44"/>
          <w:szCs w:val="44"/>
        </w:rPr>
      </w:pPr>
    </w:p>
    <w:p>
      <w:pPr>
        <w:pStyle w:val="10"/>
        <w:keepNext w:val="0"/>
        <w:keepLines w:val="0"/>
        <w:pageBreakBefore w:val="0"/>
        <w:widowControl/>
        <w:kinsoku/>
        <w:wordWrap/>
        <w:overflowPunct/>
        <w:topLinePunct w:val="0"/>
        <w:bidi w:val="0"/>
        <w:spacing w:beforeAutospacing="0" w:afterAutospacing="0" w:line="560" w:lineRule="exact"/>
        <w:jc w:val="center"/>
        <w:outlineLvl w:val="0"/>
        <w:rPr>
          <w:rStyle w:val="14"/>
          <w:rFonts w:hint="eastAsia" w:ascii="Times New Roman" w:hAnsi="Times New Roman" w:eastAsia="方正小标宋简体"/>
          <w:b w:val="0"/>
          <w:bCs/>
          <w:sz w:val="44"/>
          <w:szCs w:val="44"/>
          <w:shd w:val="clear" w:color="auto" w:fill="FFFFFF"/>
          <w:lang w:val="en-US" w:eastAsia="zh-CN"/>
        </w:rPr>
      </w:pPr>
      <w:bookmarkStart w:id="0" w:name="_Toc15563"/>
      <w:r>
        <w:rPr>
          <w:rStyle w:val="14"/>
          <w:rFonts w:hint="eastAsia" w:ascii="Times New Roman" w:hAnsi="Times New Roman" w:eastAsia="方正小标宋简体"/>
          <w:b w:val="0"/>
          <w:bCs/>
          <w:sz w:val="44"/>
          <w:szCs w:val="44"/>
          <w:shd w:val="clear" w:color="auto" w:fill="FFFFFF"/>
          <w:lang w:val="en-US" w:eastAsia="zh-CN"/>
        </w:rPr>
        <w:t>柳州市交通学校</w:t>
      </w:r>
      <w:bookmarkEnd w:id="0"/>
    </w:p>
    <w:p>
      <w:pPr>
        <w:pStyle w:val="10"/>
        <w:keepNext w:val="0"/>
        <w:keepLines w:val="0"/>
        <w:pageBreakBefore w:val="0"/>
        <w:widowControl/>
        <w:kinsoku/>
        <w:wordWrap/>
        <w:overflowPunct/>
        <w:topLinePunct w:val="0"/>
        <w:bidi w:val="0"/>
        <w:spacing w:beforeAutospacing="0" w:afterAutospacing="0" w:line="560" w:lineRule="exact"/>
        <w:jc w:val="center"/>
        <w:outlineLvl w:val="0"/>
        <w:rPr>
          <w:rStyle w:val="14"/>
          <w:rFonts w:ascii="Times New Roman" w:hAnsi="Times New Roman" w:eastAsia="方正小标宋简体"/>
          <w:b w:val="0"/>
          <w:bCs/>
          <w:sz w:val="44"/>
          <w:szCs w:val="44"/>
          <w:shd w:val="clear" w:color="auto" w:fill="FFFFFF"/>
        </w:rPr>
      </w:pPr>
      <w:bookmarkStart w:id="1" w:name="_Toc31514"/>
      <w:r>
        <w:rPr>
          <w:rStyle w:val="14"/>
          <w:rFonts w:hint="eastAsia" w:ascii="Times New Roman" w:hAnsi="Times New Roman" w:eastAsia="方正小标宋简体"/>
          <w:b w:val="0"/>
          <w:bCs/>
          <w:sz w:val="44"/>
          <w:szCs w:val="44"/>
          <w:shd w:val="clear" w:color="auto" w:fill="FFFFFF"/>
          <w:lang w:val="en-US" w:eastAsia="zh-CN"/>
        </w:rPr>
        <w:t>2019年</w:t>
      </w:r>
      <w:r>
        <w:rPr>
          <w:rStyle w:val="14"/>
          <w:rFonts w:ascii="Times New Roman" w:hAnsi="Times New Roman" w:eastAsia="方正小标宋简体"/>
          <w:b w:val="0"/>
          <w:bCs/>
          <w:sz w:val="44"/>
          <w:szCs w:val="44"/>
          <w:shd w:val="clear" w:color="auto" w:fill="FFFFFF"/>
        </w:rPr>
        <w:t>中等职业教育质量年度报告</w:t>
      </w:r>
      <w:bookmarkEnd w:id="1"/>
    </w:p>
    <w:p>
      <w:pPr>
        <w:pStyle w:val="4"/>
        <w:pageBreakBefore w:val="0"/>
        <w:kinsoku/>
        <w:wordWrap/>
        <w:overflowPunct/>
        <w:topLinePunct w:val="0"/>
        <w:autoSpaceDE/>
        <w:autoSpaceDN/>
        <w:bidi w:val="0"/>
        <w:adjustRightInd/>
        <w:snapToGrid/>
        <w:spacing w:before="0" w:after="0" w:line="480" w:lineRule="exact"/>
        <w:ind w:firstLine="562" w:firstLineChars="200"/>
        <w:textAlignment w:val="auto"/>
        <w:rPr>
          <w:rFonts w:hint="eastAsia" w:ascii="仿宋" w:hAnsi="仿宋" w:eastAsia="仿宋" w:cs="仿宋"/>
          <w:sz w:val="28"/>
          <w:szCs w:val="28"/>
          <w:lang w:val="en-US" w:eastAsia="zh-CN"/>
        </w:rPr>
      </w:pPr>
    </w:p>
    <w:p>
      <w:pPr>
        <w:pStyle w:val="4"/>
        <w:pageBreakBefore w:val="0"/>
        <w:kinsoku/>
        <w:wordWrap/>
        <w:overflowPunct/>
        <w:topLinePunct w:val="0"/>
        <w:autoSpaceDE/>
        <w:autoSpaceDN/>
        <w:bidi w:val="0"/>
        <w:adjustRightInd/>
        <w:snapToGrid/>
        <w:spacing w:before="0" w:after="0" w:line="480" w:lineRule="exact"/>
        <w:ind w:firstLine="562" w:firstLineChars="200"/>
        <w:textAlignment w:val="auto"/>
        <w:rPr>
          <w:rFonts w:hint="eastAsia" w:ascii="仿宋" w:hAnsi="仿宋" w:eastAsia="仿宋" w:cs="仿宋"/>
          <w:bCs w:val="0"/>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Cs w:val="0"/>
          <w:sz w:val="28"/>
          <w:szCs w:val="28"/>
        </w:rPr>
        <w:t>学校情况</w:t>
      </w:r>
    </w:p>
    <w:p>
      <w:pPr>
        <w:pStyle w:val="5"/>
        <w:pageBreakBefore w:val="0"/>
        <w:kinsoku/>
        <w:wordWrap/>
        <w:overflowPunct/>
        <w:topLinePunct w:val="0"/>
        <w:autoSpaceDE/>
        <w:autoSpaceDN/>
        <w:bidi w:val="0"/>
        <w:adjustRightInd/>
        <w:snapToGrid/>
        <w:spacing w:before="0" w:after="0"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学校概况</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0000FF"/>
          <w:sz w:val="28"/>
          <w:szCs w:val="28"/>
        </w:rPr>
      </w:pPr>
      <w:r>
        <w:rPr>
          <w:rFonts w:hint="eastAsia" w:ascii="仿宋" w:hAnsi="仿宋" w:eastAsia="仿宋" w:cs="仿宋"/>
          <w:sz w:val="28"/>
          <w:szCs w:val="28"/>
        </w:rPr>
        <w:t>柳州市交通学校建校于1985年，隶属于广西壮族自治区柳州市教育局，是一所立足大交通、服务地方经济发展的国家级重点中职学校、国家教育改革发展示范学校</w:t>
      </w:r>
      <w:r>
        <w:rPr>
          <w:rFonts w:hint="eastAsia" w:ascii="仿宋" w:hAnsi="仿宋" w:eastAsia="仿宋" w:cs="仿宋"/>
          <w:sz w:val="28"/>
          <w:szCs w:val="28"/>
          <w:lang w:eastAsia="zh-CN"/>
        </w:rPr>
        <w:t>。</w:t>
      </w:r>
      <w:r>
        <w:rPr>
          <w:rFonts w:hint="eastAsia" w:ascii="仿宋" w:hAnsi="仿宋" w:eastAsia="仿宋" w:cs="仿宋"/>
          <w:sz w:val="28"/>
          <w:szCs w:val="28"/>
        </w:rPr>
        <w:t>校园</w:t>
      </w:r>
      <w:r>
        <w:rPr>
          <w:rFonts w:hint="eastAsia" w:ascii="仿宋" w:hAnsi="仿宋" w:eastAsia="仿宋" w:cs="仿宋"/>
          <w:sz w:val="28"/>
          <w:szCs w:val="28"/>
          <w:u w:val="none"/>
        </w:rPr>
        <w:t>面积114568.3平</w:t>
      </w:r>
      <w:r>
        <w:rPr>
          <w:rFonts w:hint="eastAsia" w:ascii="仿宋" w:hAnsi="仿宋" w:eastAsia="仿宋" w:cs="仿宋"/>
          <w:sz w:val="28"/>
          <w:szCs w:val="28"/>
        </w:rPr>
        <w:t>米，校舍建</w:t>
      </w:r>
      <w:r>
        <w:rPr>
          <w:rFonts w:hint="eastAsia" w:ascii="仿宋" w:hAnsi="仿宋" w:eastAsia="仿宋" w:cs="仿宋"/>
          <w:sz w:val="28"/>
          <w:szCs w:val="28"/>
          <w:u w:val="none"/>
        </w:rPr>
        <w:t>筑面积76525平米</w:t>
      </w:r>
      <w:r>
        <w:rPr>
          <w:rFonts w:hint="eastAsia" w:ascii="仿宋" w:hAnsi="仿宋" w:eastAsia="仿宋" w:cs="仿宋"/>
          <w:sz w:val="28"/>
          <w:szCs w:val="28"/>
          <w:u w:val="none"/>
          <w:lang w:eastAsia="zh-CN"/>
        </w:rPr>
        <w:t>，办学经费4985.65万元，</w:t>
      </w:r>
      <w:r>
        <w:rPr>
          <w:rFonts w:hint="eastAsia" w:ascii="仿宋" w:hAnsi="仿宋" w:eastAsia="仿宋" w:cs="仿宋"/>
          <w:color w:val="auto"/>
          <w:sz w:val="28"/>
          <w:szCs w:val="28"/>
          <w:lang w:eastAsia="zh-CN"/>
        </w:rPr>
        <w:t>教学仪器设备总值6838.39万元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2018</w:t>
      </w:r>
      <w:r>
        <w:rPr>
          <w:rFonts w:hint="eastAsia" w:ascii="仿宋" w:hAnsi="仿宋" w:eastAsia="仿宋" w:cs="仿宋"/>
          <w:sz w:val="28"/>
          <w:szCs w:val="28"/>
          <w:u w:val="none"/>
          <w:lang w:val="en-US" w:eastAsia="zh-CN"/>
        </w:rPr>
        <w:t>年，学校调整办学定位，努力建成</w:t>
      </w:r>
      <w:r>
        <w:rPr>
          <w:rFonts w:hint="eastAsia" w:ascii="仿宋" w:hAnsi="仿宋" w:eastAsia="仿宋" w:cs="仿宋"/>
          <w:sz w:val="28"/>
          <w:szCs w:val="28"/>
        </w:rPr>
        <w:t>“以大交通为背景，行业特色突出、专业发展优势强劲”的高水平国家示范学校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2019年，学校围绕</w:t>
      </w:r>
      <w:r>
        <w:rPr>
          <w:rFonts w:hint="eastAsia" w:ascii="仿宋" w:hAnsi="仿宋" w:eastAsia="仿宋" w:cs="仿宋"/>
          <w:sz w:val="28"/>
          <w:szCs w:val="28"/>
          <w:u w:val="none"/>
          <w:lang w:eastAsia="zh-CN"/>
        </w:rPr>
        <w:t>“三年三大步，五年一跨</w:t>
      </w:r>
      <w:r>
        <w:rPr>
          <w:rFonts w:hint="default" w:ascii="仿宋" w:hAnsi="仿宋" w:eastAsia="仿宋" w:cs="仿宋"/>
          <w:sz w:val="28"/>
          <w:szCs w:val="28"/>
          <w:u w:val="none"/>
          <w:lang w:eastAsia="zh-CN"/>
        </w:rPr>
        <w:t>越</w:t>
      </w:r>
      <w:r>
        <w:rPr>
          <w:rFonts w:hint="eastAsia" w:ascii="仿宋" w:hAnsi="仿宋" w:eastAsia="仿宋" w:cs="仿宋"/>
          <w:sz w:val="28"/>
          <w:szCs w:val="28"/>
          <w:u w:val="none"/>
          <w:lang w:eastAsia="zh-CN"/>
        </w:rPr>
        <w:t>”的发展目标，“德技并举，志善相彰”的</w:t>
      </w:r>
      <w:r>
        <w:rPr>
          <w:rFonts w:hint="default" w:ascii="仿宋" w:hAnsi="仿宋" w:eastAsia="仿宋" w:cs="仿宋"/>
          <w:sz w:val="28"/>
          <w:szCs w:val="28"/>
          <w:u w:val="none"/>
          <w:lang w:eastAsia="zh-CN"/>
        </w:rPr>
        <w:t>办学</w:t>
      </w:r>
      <w:r>
        <w:rPr>
          <w:rFonts w:hint="eastAsia" w:ascii="仿宋" w:hAnsi="仿宋" w:eastAsia="仿宋" w:cs="仿宋"/>
          <w:sz w:val="28"/>
          <w:szCs w:val="28"/>
          <w:u w:val="none"/>
          <w:lang w:eastAsia="zh-CN"/>
        </w:rPr>
        <w:t>理念，</w:t>
      </w:r>
      <w:r>
        <w:rPr>
          <w:rFonts w:hint="eastAsia" w:ascii="仿宋" w:hAnsi="仿宋" w:eastAsia="仿宋" w:cs="仿宋"/>
          <w:sz w:val="28"/>
          <w:szCs w:val="28"/>
        </w:rPr>
        <w:t>坚持以提高质量为核心，加强校企合作，促进产教融合，创新办学模式，突出办学特色，强化学校内涵，着力推进示范品牌建设，办学吸引力不断增强，教学质量持续提升。</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1.2 学生情况</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学校通过改革招生方案，切实推进全员招生，在全体教职工的共同努力下，</w:t>
      </w:r>
      <w:r>
        <w:rPr>
          <w:rFonts w:hint="eastAsia" w:ascii="仿宋" w:hAnsi="仿宋" w:eastAsia="仿宋" w:cs="仿宋"/>
          <w:sz w:val="28"/>
          <w:szCs w:val="28"/>
          <w:lang w:eastAsia="zh-CN"/>
        </w:rPr>
        <w:t>2019年学校招生工作取得跨越式发展，秋季录取全日制新生1679人，非全日制1014人，顺利并超额完成教育局下达的招生任务招生任务，录取全日制新生比2018年增长34.25%。全日制在校生达</w:t>
      </w:r>
      <w:r>
        <w:rPr>
          <w:rFonts w:hint="eastAsia" w:ascii="仿宋" w:hAnsi="仿宋" w:eastAsia="仿宋" w:cs="仿宋"/>
          <w:sz w:val="28"/>
          <w:szCs w:val="28"/>
          <w:lang w:val="en-US" w:eastAsia="zh-CN"/>
        </w:rPr>
        <w:t>3293人。</w:t>
      </w:r>
      <w:r>
        <w:rPr>
          <w:rFonts w:hint="eastAsia" w:ascii="仿宋" w:hAnsi="仿宋" w:eastAsia="仿宋" w:cs="仿宋"/>
          <w:sz w:val="28"/>
          <w:szCs w:val="28"/>
        </w:rPr>
        <w:t>毕业生人数:</w:t>
      </w:r>
      <w:r>
        <w:rPr>
          <w:rFonts w:hint="eastAsia" w:ascii="仿宋" w:hAnsi="仿宋" w:eastAsia="仿宋" w:cs="仿宋"/>
          <w:sz w:val="28"/>
          <w:szCs w:val="28"/>
          <w:lang w:val="en-US" w:eastAsia="zh-CN"/>
        </w:rPr>
        <w:t>888</w:t>
      </w:r>
      <w:r>
        <w:rPr>
          <w:rFonts w:hint="eastAsia" w:ascii="仿宋" w:hAnsi="仿宋" w:eastAsia="仿宋" w:cs="仿宋"/>
          <w:sz w:val="28"/>
          <w:szCs w:val="28"/>
        </w:rPr>
        <w:t>人,</w:t>
      </w:r>
      <w:r>
        <w:rPr>
          <w:rFonts w:hint="eastAsia" w:ascii="仿宋" w:hAnsi="仿宋" w:eastAsia="仿宋" w:cs="仿宋"/>
          <w:sz w:val="28"/>
          <w:szCs w:val="28"/>
          <w:lang w:eastAsia="zh-CN"/>
        </w:rPr>
        <w:t>就业人数</w:t>
      </w:r>
      <w:r>
        <w:rPr>
          <w:rFonts w:hint="eastAsia" w:ascii="仿宋" w:hAnsi="仿宋" w:eastAsia="仿宋" w:cs="仿宋"/>
          <w:sz w:val="28"/>
          <w:szCs w:val="28"/>
          <w:lang w:val="en-US" w:eastAsia="zh-CN"/>
        </w:rPr>
        <w:t>868人</w:t>
      </w:r>
      <w:r>
        <w:rPr>
          <w:rFonts w:hint="eastAsia" w:ascii="仿宋" w:hAnsi="仿宋" w:eastAsia="仿宋" w:cs="仿宋"/>
          <w:sz w:val="28"/>
          <w:szCs w:val="28"/>
        </w:rPr>
        <w:t>,毕业生就业率为:</w:t>
      </w:r>
      <w:r>
        <w:rPr>
          <w:rFonts w:hint="eastAsia" w:ascii="仿宋" w:hAnsi="仿宋" w:eastAsia="仿宋" w:cs="仿宋"/>
          <w:sz w:val="28"/>
          <w:szCs w:val="28"/>
          <w:lang w:val="en-US" w:eastAsia="zh-CN"/>
        </w:rPr>
        <w:t>97.74</w:t>
      </w:r>
      <w:r>
        <w:rPr>
          <w:rFonts w:hint="eastAsia" w:ascii="仿宋" w:hAnsi="仿宋" w:eastAsia="仿宋" w:cs="仿宋"/>
          <w:sz w:val="28"/>
          <w:szCs w:val="28"/>
        </w:rPr>
        <w:t>%（含升学和参军）。</w:t>
      </w:r>
    </w:p>
    <w:p>
      <w:pPr>
        <w:jc w:val="center"/>
        <w:rPr>
          <w:rFonts w:hint="eastAsia" w:ascii="宋体" w:hAnsi="宋体" w:cs="宋体"/>
          <w:color w:val="FF0000"/>
          <w:sz w:val="24"/>
        </w:rPr>
      </w:pPr>
      <w:r>
        <w:rPr>
          <w:rFonts w:hint="eastAsia" w:ascii="宋体" w:hAnsi="宋体" w:cs="宋体"/>
          <w:sz w:val="24"/>
        </w:rPr>
        <w:t>表1-1   近三年学生情况统计</w:t>
      </w:r>
    </w:p>
    <w:tbl>
      <w:tblPr>
        <w:tblStyle w:val="11"/>
        <w:tblW w:w="71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
        <w:gridCol w:w="1031"/>
        <w:gridCol w:w="1586"/>
        <w:gridCol w:w="1403"/>
        <w:gridCol w:w="1149"/>
        <w:gridCol w:w="1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8" w:hRule="atLeast"/>
          <w:jc w:val="center"/>
        </w:trPr>
        <w:tc>
          <w:tcPr>
            <w:tcW w:w="929" w:type="dxa"/>
            <w:vMerge w:val="restart"/>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年度</w:t>
            </w:r>
          </w:p>
        </w:tc>
        <w:tc>
          <w:tcPr>
            <w:tcW w:w="1031" w:type="dxa"/>
            <w:vMerge w:val="restart"/>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年级</w:t>
            </w:r>
          </w:p>
        </w:tc>
        <w:tc>
          <w:tcPr>
            <w:tcW w:w="1586"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学生人数</w:t>
            </w:r>
          </w:p>
        </w:tc>
        <w:tc>
          <w:tcPr>
            <w:tcW w:w="1403"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毕业生规模</w:t>
            </w:r>
          </w:p>
        </w:tc>
        <w:tc>
          <w:tcPr>
            <w:tcW w:w="2232" w:type="dxa"/>
            <w:gridSpan w:val="2"/>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学生结构（人）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929" w:type="dxa"/>
            <w:vMerge w:val="continue"/>
            <w:noWrap w:val="0"/>
            <w:vAlign w:val="center"/>
          </w:tcPr>
          <w:p>
            <w:pPr>
              <w:widowControl/>
              <w:jc w:val="center"/>
              <w:rPr>
                <w:rFonts w:hint="eastAsia" w:ascii="宋体" w:hAnsi="宋体" w:cs="宋体"/>
                <w:bCs/>
                <w:kern w:val="0"/>
                <w:szCs w:val="21"/>
              </w:rPr>
            </w:pPr>
          </w:p>
        </w:tc>
        <w:tc>
          <w:tcPr>
            <w:tcW w:w="1031" w:type="dxa"/>
            <w:vMerge w:val="continue"/>
            <w:noWrap w:val="0"/>
            <w:vAlign w:val="center"/>
          </w:tcPr>
          <w:p>
            <w:pPr>
              <w:widowControl/>
              <w:jc w:val="center"/>
              <w:rPr>
                <w:rFonts w:hint="eastAsia" w:ascii="宋体" w:hAnsi="宋体" w:cs="宋体"/>
                <w:bCs/>
                <w:kern w:val="0"/>
                <w:szCs w:val="21"/>
              </w:rPr>
            </w:pPr>
          </w:p>
        </w:tc>
        <w:tc>
          <w:tcPr>
            <w:tcW w:w="1586"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（人）</w:t>
            </w:r>
          </w:p>
        </w:tc>
        <w:tc>
          <w:tcPr>
            <w:tcW w:w="1403"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（人）</w:t>
            </w:r>
          </w:p>
        </w:tc>
        <w:tc>
          <w:tcPr>
            <w:tcW w:w="1149"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男</w:t>
            </w:r>
          </w:p>
        </w:tc>
        <w:tc>
          <w:tcPr>
            <w:tcW w:w="1083"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929" w:type="dxa"/>
            <w:vMerge w:val="restart"/>
            <w:noWrap w:val="0"/>
            <w:vAlign w:val="center"/>
          </w:tcPr>
          <w:p>
            <w:pPr>
              <w:jc w:val="center"/>
              <w:rPr>
                <w:rFonts w:ascii="宋体" w:hAnsi="宋体" w:cs="宋体"/>
                <w:szCs w:val="21"/>
              </w:rPr>
            </w:pPr>
            <w:r>
              <w:rPr>
                <w:rFonts w:hint="eastAsia"/>
                <w:szCs w:val="21"/>
              </w:rPr>
              <w:t>17年</w:t>
            </w:r>
          </w:p>
        </w:tc>
        <w:tc>
          <w:tcPr>
            <w:tcW w:w="1031" w:type="dxa"/>
            <w:noWrap w:val="0"/>
            <w:vAlign w:val="center"/>
          </w:tcPr>
          <w:p>
            <w:pPr>
              <w:jc w:val="center"/>
              <w:rPr>
                <w:rFonts w:ascii="宋体" w:hAnsi="宋体" w:cs="宋体"/>
                <w:szCs w:val="21"/>
              </w:rPr>
            </w:pPr>
            <w:r>
              <w:rPr>
                <w:szCs w:val="21"/>
              </w:rPr>
              <w:t>20</w:t>
            </w:r>
            <w:r>
              <w:rPr>
                <w:rFonts w:hint="eastAsia"/>
                <w:szCs w:val="21"/>
              </w:rPr>
              <w:t>15级</w:t>
            </w:r>
          </w:p>
        </w:tc>
        <w:tc>
          <w:tcPr>
            <w:tcW w:w="1586" w:type="dxa"/>
            <w:noWrap w:val="0"/>
            <w:vAlign w:val="center"/>
          </w:tcPr>
          <w:p>
            <w:pPr>
              <w:jc w:val="center"/>
              <w:rPr>
                <w:rFonts w:ascii="宋体" w:hAnsi="宋体" w:cs="宋体"/>
                <w:szCs w:val="21"/>
              </w:rPr>
            </w:pPr>
            <w:r>
              <w:rPr>
                <w:rFonts w:hint="eastAsia"/>
                <w:szCs w:val="21"/>
              </w:rPr>
              <w:t>981</w:t>
            </w:r>
          </w:p>
        </w:tc>
        <w:tc>
          <w:tcPr>
            <w:tcW w:w="1403" w:type="dxa"/>
            <w:noWrap w:val="0"/>
            <w:vAlign w:val="center"/>
          </w:tcPr>
          <w:p>
            <w:pPr>
              <w:jc w:val="center"/>
              <w:rPr>
                <w:rFonts w:ascii="宋体" w:hAnsi="宋体" w:cs="宋体"/>
                <w:szCs w:val="21"/>
              </w:rPr>
            </w:pPr>
            <w:r>
              <w:rPr>
                <w:rFonts w:hint="eastAsia"/>
                <w:szCs w:val="21"/>
              </w:rPr>
              <w:t>981</w:t>
            </w:r>
          </w:p>
        </w:tc>
        <w:tc>
          <w:tcPr>
            <w:tcW w:w="1149" w:type="dxa"/>
            <w:noWrap w:val="0"/>
            <w:vAlign w:val="center"/>
          </w:tcPr>
          <w:p>
            <w:pPr>
              <w:jc w:val="center"/>
              <w:rPr>
                <w:rFonts w:ascii="宋体" w:hAnsi="宋体" w:cs="宋体"/>
                <w:szCs w:val="21"/>
              </w:rPr>
            </w:pPr>
            <w:r>
              <w:rPr>
                <w:rFonts w:hint="eastAsia"/>
                <w:szCs w:val="21"/>
              </w:rPr>
              <w:t>826</w:t>
            </w:r>
          </w:p>
        </w:tc>
        <w:tc>
          <w:tcPr>
            <w:tcW w:w="1083" w:type="dxa"/>
            <w:noWrap w:val="0"/>
            <w:vAlign w:val="center"/>
          </w:tcPr>
          <w:p>
            <w:pPr>
              <w:jc w:val="center"/>
              <w:rPr>
                <w:rFonts w:ascii="宋体" w:hAnsi="宋体" w:cs="宋体"/>
                <w:szCs w:val="21"/>
              </w:rPr>
            </w:pPr>
            <w:r>
              <w:rPr>
                <w:rFonts w:hint="eastAsia"/>
                <w:szCs w:val="21"/>
              </w:rPr>
              <w:t>155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9" w:type="dxa"/>
            <w:vMerge w:val="continue"/>
            <w:noWrap w:val="0"/>
            <w:vAlign w:val="center"/>
          </w:tcPr>
          <w:p>
            <w:pPr>
              <w:rPr>
                <w:rFonts w:ascii="宋体" w:hAnsi="宋体" w:cs="宋体"/>
                <w:szCs w:val="21"/>
              </w:rPr>
            </w:pPr>
          </w:p>
        </w:tc>
        <w:tc>
          <w:tcPr>
            <w:tcW w:w="1031" w:type="dxa"/>
            <w:noWrap w:val="0"/>
            <w:vAlign w:val="center"/>
          </w:tcPr>
          <w:p>
            <w:pPr>
              <w:jc w:val="center"/>
              <w:rPr>
                <w:rFonts w:ascii="宋体" w:hAnsi="宋体" w:cs="宋体"/>
                <w:szCs w:val="21"/>
              </w:rPr>
            </w:pPr>
            <w:r>
              <w:rPr>
                <w:szCs w:val="21"/>
              </w:rPr>
              <w:t>20</w:t>
            </w:r>
            <w:r>
              <w:rPr>
                <w:rFonts w:hint="eastAsia"/>
                <w:szCs w:val="21"/>
              </w:rPr>
              <w:t>16级</w:t>
            </w:r>
          </w:p>
        </w:tc>
        <w:tc>
          <w:tcPr>
            <w:tcW w:w="1586" w:type="dxa"/>
            <w:noWrap w:val="0"/>
            <w:vAlign w:val="center"/>
          </w:tcPr>
          <w:p>
            <w:pPr>
              <w:jc w:val="center"/>
              <w:rPr>
                <w:rFonts w:ascii="宋体" w:hAnsi="宋体" w:cs="宋体"/>
                <w:szCs w:val="21"/>
              </w:rPr>
            </w:pPr>
            <w:r>
              <w:rPr>
                <w:rFonts w:hint="eastAsia"/>
                <w:szCs w:val="21"/>
              </w:rPr>
              <w:t>970</w:t>
            </w:r>
          </w:p>
        </w:tc>
        <w:tc>
          <w:tcPr>
            <w:tcW w:w="1403" w:type="dxa"/>
            <w:noWrap w:val="0"/>
            <w:vAlign w:val="center"/>
          </w:tcPr>
          <w:p>
            <w:pPr>
              <w:jc w:val="center"/>
              <w:rPr>
                <w:rFonts w:ascii="宋体" w:hAnsi="宋体" w:cs="宋体"/>
                <w:szCs w:val="21"/>
              </w:rPr>
            </w:pPr>
            <w:r>
              <w:rPr>
                <w:rFonts w:hint="eastAsia"/>
                <w:szCs w:val="21"/>
              </w:rPr>
              <w:t>　</w:t>
            </w:r>
            <w:r>
              <w:rPr>
                <w:rFonts w:hint="eastAsia" w:ascii="宋体" w:hAnsi="宋体" w:cs="宋体"/>
                <w:bCs/>
                <w:kern w:val="0"/>
                <w:szCs w:val="21"/>
              </w:rPr>
              <w:t>-</w:t>
            </w:r>
          </w:p>
        </w:tc>
        <w:tc>
          <w:tcPr>
            <w:tcW w:w="1149" w:type="dxa"/>
            <w:noWrap w:val="0"/>
            <w:vAlign w:val="center"/>
          </w:tcPr>
          <w:p>
            <w:pPr>
              <w:jc w:val="center"/>
              <w:rPr>
                <w:rFonts w:ascii="宋体" w:hAnsi="宋体" w:cs="宋体"/>
                <w:szCs w:val="21"/>
              </w:rPr>
            </w:pPr>
            <w:r>
              <w:rPr>
                <w:rFonts w:hint="eastAsia"/>
                <w:szCs w:val="21"/>
              </w:rPr>
              <w:t>867</w:t>
            </w:r>
          </w:p>
        </w:tc>
        <w:tc>
          <w:tcPr>
            <w:tcW w:w="1083" w:type="dxa"/>
            <w:noWrap w:val="0"/>
            <w:vAlign w:val="center"/>
          </w:tcPr>
          <w:p>
            <w:pPr>
              <w:jc w:val="center"/>
              <w:rPr>
                <w:rFonts w:ascii="宋体" w:hAnsi="宋体" w:cs="宋体"/>
                <w:szCs w:val="21"/>
              </w:rPr>
            </w:pPr>
            <w:r>
              <w:rPr>
                <w:rFonts w:hint="eastAsia"/>
                <w:szCs w:val="21"/>
              </w:rPr>
              <w:t>103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9" w:type="dxa"/>
            <w:vMerge w:val="continue"/>
            <w:noWrap w:val="0"/>
            <w:vAlign w:val="center"/>
          </w:tcPr>
          <w:p>
            <w:pPr>
              <w:rPr>
                <w:rFonts w:ascii="宋体" w:hAnsi="宋体" w:cs="宋体"/>
                <w:szCs w:val="21"/>
              </w:rPr>
            </w:pPr>
          </w:p>
        </w:tc>
        <w:tc>
          <w:tcPr>
            <w:tcW w:w="1031" w:type="dxa"/>
            <w:noWrap w:val="0"/>
            <w:vAlign w:val="center"/>
          </w:tcPr>
          <w:p>
            <w:pPr>
              <w:jc w:val="center"/>
              <w:rPr>
                <w:rFonts w:ascii="宋体" w:hAnsi="宋体" w:cs="宋体"/>
                <w:szCs w:val="21"/>
              </w:rPr>
            </w:pPr>
            <w:r>
              <w:rPr>
                <w:szCs w:val="21"/>
              </w:rPr>
              <w:t>20</w:t>
            </w:r>
            <w:r>
              <w:rPr>
                <w:rFonts w:hint="eastAsia"/>
                <w:szCs w:val="21"/>
              </w:rPr>
              <w:t>17级</w:t>
            </w:r>
          </w:p>
        </w:tc>
        <w:tc>
          <w:tcPr>
            <w:tcW w:w="1586" w:type="dxa"/>
            <w:noWrap w:val="0"/>
            <w:vAlign w:val="center"/>
          </w:tcPr>
          <w:p>
            <w:pPr>
              <w:jc w:val="center"/>
              <w:rPr>
                <w:rFonts w:ascii="宋体" w:hAnsi="宋体" w:cs="宋体"/>
                <w:szCs w:val="21"/>
              </w:rPr>
            </w:pPr>
            <w:r>
              <w:rPr>
                <w:rFonts w:hint="eastAsia"/>
                <w:szCs w:val="21"/>
              </w:rPr>
              <w:t>1003</w:t>
            </w:r>
          </w:p>
        </w:tc>
        <w:tc>
          <w:tcPr>
            <w:tcW w:w="1403" w:type="dxa"/>
            <w:noWrap w:val="0"/>
            <w:vAlign w:val="center"/>
          </w:tcPr>
          <w:p>
            <w:pPr>
              <w:jc w:val="center"/>
              <w:rPr>
                <w:rFonts w:ascii="宋体" w:hAnsi="宋体" w:cs="宋体"/>
                <w:szCs w:val="21"/>
              </w:rPr>
            </w:pPr>
            <w:r>
              <w:rPr>
                <w:rFonts w:hint="eastAsia" w:ascii="宋体" w:hAnsi="宋体" w:cs="宋体"/>
                <w:bCs/>
                <w:kern w:val="0"/>
                <w:szCs w:val="21"/>
              </w:rPr>
              <w:t>-</w:t>
            </w:r>
            <w:r>
              <w:rPr>
                <w:rFonts w:hint="eastAsia"/>
                <w:szCs w:val="21"/>
              </w:rPr>
              <w:t>　</w:t>
            </w:r>
          </w:p>
        </w:tc>
        <w:tc>
          <w:tcPr>
            <w:tcW w:w="1149" w:type="dxa"/>
            <w:noWrap w:val="0"/>
            <w:vAlign w:val="center"/>
          </w:tcPr>
          <w:p>
            <w:pPr>
              <w:jc w:val="center"/>
              <w:rPr>
                <w:rFonts w:ascii="宋体" w:hAnsi="宋体" w:cs="宋体"/>
                <w:szCs w:val="21"/>
              </w:rPr>
            </w:pPr>
            <w:r>
              <w:rPr>
                <w:rFonts w:hint="eastAsia"/>
                <w:szCs w:val="21"/>
              </w:rPr>
              <w:t>871</w:t>
            </w:r>
          </w:p>
        </w:tc>
        <w:tc>
          <w:tcPr>
            <w:tcW w:w="1083" w:type="dxa"/>
            <w:noWrap w:val="0"/>
            <w:vAlign w:val="center"/>
          </w:tcPr>
          <w:p>
            <w:pPr>
              <w:jc w:val="center"/>
              <w:rPr>
                <w:rFonts w:ascii="宋体" w:hAnsi="宋体" w:cs="宋体"/>
                <w:szCs w:val="21"/>
              </w:rPr>
            </w:pPr>
            <w:r>
              <w:rPr>
                <w:rFonts w:hint="eastAsia"/>
                <w:szCs w:val="21"/>
              </w:rPr>
              <w:t>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929" w:type="dxa"/>
            <w:vMerge w:val="continue"/>
            <w:noWrap w:val="0"/>
            <w:vAlign w:val="center"/>
          </w:tcPr>
          <w:p>
            <w:pPr>
              <w:rPr>
                <w:rFonts w:ascii="宋体" w:hAnsi="宋体" w:cs="宋体"/>
                <w:szCs w:val="21"/>
              </w:rPr>
            </w:pPr>
          </w:p>
        </w:tc>
        <w:tc>
          <w:tcPr>
            <w:tcW w:w="1031" w:type="dxa"/>
            <w:noWrap w:val="0"/>
            <w:vAlign w:val="center"/>
          </w:tcPr>
          <w:p>
            <w:pPr>
              <w:jc w:val="center"/>
              <w:rPr>
                <w:rFonts w:ascii="宋体" w:hAnsi="宋体" w:cs="宋体"/>
                <w:szCs w:val="21"/>
              </w:rPr>
            </w:pPr>
            <w:r>
              <w:rPr>
                <w:rFonts w:hint="eastAsia"/>
                <w:szCs w:val="21"/>
              </w:rPr>
              <w:t>合计</w:t>
            </w:r>
          </w:p>
        </w:tc>
        <w:tc>
          <w:tcPr>
            <w:tcW w:w="1586" w:type="dxa"/>
            <w:noWrap w:val="0"/>
            <w:vAlign w:val="center"/>
          </w:tcPr>
          <w:p>
            <w:pPr>
              <w:jc w:val="center"/>
              <w:rPr>
                <w:rFonts w:ascii="宋体" w:hAnsi="宋体" w:cs="宋体"/>
                <w:szCs w:val="21"/>
              </w:rPr>
            </w:pPr>
            <w:r>
              <w:rPr>
                <w:rFonts w:hint="eastAsia"/>
                <w:szCs w:val="21"/>
              </w:rPr>
              <w:t>2954</w:t>
            </w:r>
          </w:p>
        </w:tc>
        <w:tc>
          <w:tcPr>
            <w:tcW w:w="1403" w:type="dxa"/>
            <w:noWrap w:val="0"/>
            <w:vAlign w:val="center"/>
          </w:tcPr>
          <w:p>
            <w:pPr>
              <w:jc w:val="center"/>
              <w:rPr>
                <w:rFonts w:ascii="宋体" w:hAnsi="宋体" w:cs="宋体"/>
                <w:szCs w:val="21"/>
              </w:rPr>
            </w:pPr>
            <w:r>
              <w:rPr>
                <w:rFonts w:hint="eastAsia"/>
                <w:szCs w:val="21"/>
              </w:rPr>
              <w:t>981</w:t>
            </w:r>
          </w:p>
        </w:tc>
        <w:tc>
          <w:tcPr>
            <w:tcW w:w="1149" w:type="dxa"/>
            <w:noWrap w:val="0"/>
            <w:vAlign w:val="center"/>
          </w:tcPr>
          <w:p>
            <w:pPr>
              <w:jc w:val="center"/>
              <w:rPr>
                <w:rFonts w:ascii="宋体" w:hAnsi="宋体" w:cs="宋体"/>
                <w:szCs w:val="21"/>
              </w:rPr>
            </w:pPr>
            <w:r>
              <w:rPr>
                <w:rFonts w:hint="eastAsia"/>
                <w:szCs w:val="21"/>
              </w:rPr>
              <w:t>2564</w:t>
            </w:r>
          </w:p>
        </w:tc>
        <w:tc>
          <w:tcPr>
            <w:tcW w:w="1083" w:type="dxa"/>
            <w:noWrap w:val="0"/>
            <w:vAlign w:val="center"/>
          </w:tcPr>
          <w:p>
            <w:pPr>
              <w:jc w:val="center"/>
              <w:rPr>
                <w:rFonts w:ascii="宋体" w:hAnsi="宋体" w:cs="宋体"/>
                <w:szCs w:val="21"/>
              </w:rPr>
            </w:pPr>
            <w:r>
              <w:rPr>
                <w:rFonts w:hint="eastAsia"/>
                <w:szCs w:val="21"/>
              </w:rPr>
              <w:t>390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929" w:type="dxa"/>
            <w:vMerge w:val="restart"/>
            <w:noWrap w:val="0"/>
            <w:vAlign w:val="center"/>
          </w:tcPr>
          <w:p>
            <w:pPr>
              <w:jc w:val="center"/>
              <w:rPr>
                <w:rFonts w:ascii="宋体" w:hAnsi="宋体" w:cs="宋体"/>
                <w:szCs w:val="21"/>
              </w:rPr>
            </w:pPr>
            <w:r>
              <w:rPr>
                <w:rFonts w:hint="eastAsia"/>
                <w:szCs w:val="21"/>
              </w:rPr>
              <w:t>18年</w:t>
            </w:r>
          </w:p>
        </w:tc>
        <w:tc>
          <w:tcPr>
            <w:tcW w:w="1031" w:type="dxa"/>
            <w:noWrap w:val="0"/>
            <w:vAlign w:val="center"/>
          </w:tcPr>
          <w:p>
            <w:pPr>
              <w:jc w:val="center"/>
              <w:rPr>
                <w:rFonts w:ascii="宋体" w:hAnsi="宋体" w:cs="宋体"/>
                <w:szCs w:val="21"/>
              </w:rPr>
            </w:pPr>
            <w:r>
              <w:rPr>
                <w:szCs w:val="21"/>
              </w:rPr>
              <w:t>20</w:t>
            </w:r>
            <w:r>
              <w:rPr>
                <w:rFonts w:hint="eastAsia"/>
                <w:szCs w:val="21"/>
              </w:rPr>
              <w:t>16级</w:t>
            </w:r>
          </w:p>
        </w:tc>
        <w:tc>
          <w:tcPr>
            <w:tcW w:w="1586" w:type="dxa"/>
            <w:noWrap w:val="0"/>
            <w:vAlign w:val="center"/>
          </w:tcPr>
          <w:p>
            <w:pPr>
              <w:jc w:val="center"/>
              <w:rPr>
                <w:rFonts w:ascii="宋体" w:hAnsi="宋体" w:cs="宋体"/>
                <w:szCs w:val="21"/>
              </w:rPr>
            </w:pPr>
            <w:r>
              <w:rPr>
                <w:rFonts w:hint="eastAsia"/>
                <w:szCs w:val="21"/>
              </w:rPr>
              <w:t>962</w:t>
            </w:r>
          </w:p>
        </w:tc>
        <w:tc>
          <w:tcPr>
            <w:tcW w:w="1403" w:type="dxa"/>
            <w:noWrap w:val="0"/>
            <w:vAlign w:val="center"/>
          </w:tcPr>
          <w:p>
            <w:pPr>
              <w:jc w:val="center"/>
              <w:rPr>
                <w:rFonts w:ascii="宋体" w:hAnsi="宋体" w:cs="宋体"/>
                <w:szCs w:val="21"/>
              </w:rPr>
            </w:pPr>
            <w:r>
              <w:rPr>
                <w:rFonts w:hint="eastAsia"/>
                <w:szCs w:val="21"/>
              </w:rPr>
              <w:t>962</w:t>
            </w:r>
          </w:p>
        </w:tc>
        <w:tc>
          <w:tcPr>
            <w:tcW w:w="1149" w:type="dxa"/>
            <w:noWrap w:val="0"/>
            <w:vAlign w:val="center"/>
          </w:tcPr>
          <w:p>
            <w:pPr>
              <w:jc w:val="center"/>
              <w:rPr>
                <w:rFonts w:ascii="宋体" w:hAnsi="宋体" w:cs="宋体"/>
                <w:szCs w:val="21"/>
              </w:rPr>
            </w:pPr>
            <w:r>
              <w:rPr>
                <w:rFonts w:hint="eastAsia"/>
                <w:szCs w:val="21"/>
              </w:rPr>
              <w:t>860</w:t>
            </w:r>
          </w:p>
        </w:tc>
        <w:tc>
          <w:tcPr>
            <w:tcW w:w="1083" w:type="dxa"/>
            <w:noWrap w:val="0"/>
            <w:vAlign w:val="center"/>
          </w:tcPr>
          <w:p>
            <w:pPr>
              <w:jc w:val="center"/>
              <w:rPr>
                <w:rFonts w:ascii="宋体" w:hAnsi="宋体" w:cs="宋体"/>
                <w:szCs w:val="21"/>
              </w:rPr>
            </w:pPr>
            <w:r>
              <w:rPr>
                <w:rFonts w:hint="eastAsia"/>
                <w:szCs w:val="21"/>
              </w:rPr>
              <w:t>102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929" w:type="dxa"/>
            <w:vMerge w:val="continue"/>
            <w:noWrap w:val="0"/>
            <w:vAlign w:val="center"/>
          </w:tcPr>
          <w:p>
            <w:pPr>
              <w:rPr>
                <w:rFonts w:ascii="宋体" w:hAnsi="宋体" w:cs="宋体"/>
                <w:szCs w:val="21"/>
              </w:rPr>
            </w:pPr>
          </w:p>
        </w:tc>
        <w:tc>
          <w:tcPr>
            <w:tcW w:w="1031" w:type="dxa"/>
            <w:noWrap w:val="0"/>
            <w:vAlign w:val="center"/>
          </w:tcPr>
          <w:p>
            <w:pPr>
              <w:jc w:val="center"/>
              <w:rPr>
                <w:rFonts w:ascii="宋体" w:hAnsi="宋体" w:cs="宋体"/>
                <w:szCs w:val="21"/>
              </w:rPr>
            </w:pPr>
            <w:r>
              <w:rPr>
                <w:szCs w:val="21"/>
              </w:rPr>
              <w:t>20</w:t>
            </w:r>
            <w:r>
              <w:rPr>
                <w:rFonts w:hint="eastAsia"/>
                <w:szCs w:val="21"/>
              </w:rPr>
              <w:t>17级</w:t>
            </w:r>
          </w:p>
        </w:tc>
        <w:tc>
          <w:tcPr>
            <w:tcW w:w="1586" w:type="dxa"/>
            <w:noWrap w:val="0"/>
            <w:vAlign w:val="center"/>
          </w:tcPr>
          <w:p>
            <w:pPr>
              <w:jc w:val="center"/>
              <w:rPr>
                <w:rFonts w:ascii="宋体" w:hAnsi="宋体" w:cs="宋体"/>
                <w:szCs w:val="21"/>
              </w:rPr>
            </w:pPr>
            <w:r>
              <w:rPr>
                <w:rFonts w:hint="eastAsia"/>
                <w:szCs w:val="21"/>
              </w:rPr>
              <w:t>946</w:t>
            </w:r>
          </w:p>
        </w:tc>
        <w:tc>
          <w:tcPr>
            <w:tcW w:w="1403" w:type="dxa"/>
            <w:noWrap w:val="0"/>
            <w:vAlign w:val="center"/>
          </w:tcPr>
          <w:p>
            <w:pPr>
              <w:jc w:val="center"/>
              <w:rPr>
                <w:rFonts w:ascii="宋体" w:hAnsi="宋体" w:cs="宋体"/>
                <w:szCs w:val="21"/>
              </w:rPr>
            </w:pPr>
            <w:r>
              <w:rPr>
                <w:rFonts w:hint="eastAsia" w:ascii="宋体" w:hAnsi="宋体" w:cs="宋体"/>
                <w:bCs/>
                <w:kern w:val="0"/>
                <w:szCs w:val="21"/>
              </w:rPr>
              <w:t>-</w:t>
            </w:r>
            <w:r>
              <w:rPr>
                <w:rFonts w:hint="eastAsia"/>
                <w:szCs w:val="21"/>
              </w:rPr>
              <w:t>　</w:t>
            </w:r>
          </w:p>
        </w:tc>
        <w:tc>
          <w:tcPr>
            <w:tcW w:w="1149" w:type="dxa"/>
            <w:noWrap w:val="0"/>
            <w:vAlign w:val="center"/>
          </w:tcPr>
          <w:p>
            <w:pPr>
              <w:jc w:val="center"/>
              <w:rPr>
                <w:rFonts w:ascii="宋体" w:hAnsi="宋体" w:cs="宋体"/>
                <w:szCs w:val="21"/>
              </w:rPr>
            </w:pPr>
            <w:r>
              <w:rPr>
                <w:rFonts w:hint="eastAsia"/>
                <w:szCs w:val="21"/>
              </w:rPr>
              <w:t>828</w:t>
            </w:r>
          </w:p>
        </w:tc>
        <w:tc>
          <w:tcPr>
            <w:tcW w:w="1083" w:type="dxa"/>
            <w:noWrap w:val="0"/>
            <w:vAlign w:val="center"/>
          </w:tcPr>
          <w:p>
            <w:pPr>
              <w:jc w:val="center"/>
              <w:rPr>
                <w:rFonts w:ascii="宋体" w:hAnsi="宋体" w:cs="宋体"/>
                <w:szCs w:val="21"/>
              </w:rPr>
            </w:pPr>
            <w:r>
              <w:rPr>
                <w:rFonts w:hint="eastAsia"/>
                <w:szCs w:val="21"/>
              </w:rPr>
              <w:t>118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929" w:type="dxa"/>
            <w:vMerge w:val="continue"/>
            <w:noWrap w:val="0"/>
            <w:vAlign w:val="center"/>
          </w:tcPr>
          <w:p>
            <w:pPr>
              <w:rPr>
                <w:rFonts w:ascii="宋体" w:hAnsi="宋体" w:cs="宋体"/>
                <w:szCs w:val="21"/>
              </w:rPr>
            </w:pPr>
          </w:p>
        </w:tc>
        <w:tc>
          <w:tcPr>
            <w:tcW w:w="1031" w:type="dxa"/>
            <w:noWrap w:val="0"/>
            <w:vAlign w:val="center"/>
          </w:tcPr>
          <w:p>
            <w:pPr>
              <w:jc w:val="center"/>
              <w:rPr>
                <w:rFonts w:ascii="宋体" w:hAnsi="宋体" w:cs="宋体"/>
                <w:szCs w:val="21"/>
              </w:rPr>
            </w:pPr>
            <w:r>
              <w:rPr>
                <w:szCs w:val="21"/>
              </w:rPr>
              <w:t>20</w:t>
            </w:r>
            <w:r>
              <w:rPr>
                <w:rFonts w:hint="eastAsia"/>
                <w:szCs w:val="21"/>
              </w:rPr>
              <w:t>18级</w:t>
            </w:r>
          </w:p>
        </w:tc>
        <w:tc>
          <w:tcPr>
            <w:tcW w:w="1586" w:type="dxa"/>
            <w:noWrap w:val="0"/>
            <w:vAlign w:val="center"/>
          </w:tcPr>
          <w:p>
            <w:pPr>
              <w:jc w:val="center"/>
              <w:rPr>
                <w:rFonts w:ascii="宋体" w:hAnsi="宋体" w:cs="宋体"/>
                <w:szCs w:val="21"/>
              </w:rPr>
            </w:pPr>
            <w:r>
              <w:rPr>
                <w:rFonts w:hint="eastAsia"/>
                <w:szCs w:val="21"/>
              </w:rPr>
              <w:t>1104</w:t>
            </w:r>
          </w:p>
        </w:tc>
        <w:tc>
          <w:tcPr>
            <w:tcW w:w="1403" w:type="dxa"/>
            <w:noWrap w:val="0"/>
            <w:vAlign w:val="center"/>
          </w:tcPr>
          <w:p>
            <w:pPr>
              <w:jc w:val="center"/>
              <w:rPr>
                <w:rFonts w:ascii="宋体" w:hAnsi="宋体" w:cs="宋体"/>
                <w:szCs w:val="21"/>
              </w:rPr>
            </w:pPr>
            <w:r>
              <w:rPr>
                <w:rFonts w:hint="eastAsia" w:ascii="宋体" w:hAnsi="宋体" w:cs="宋体"/>
                <w:bCs/>
                <w:kern w:val="0"/>
                <w:szCs w:val="21"/>
              </w:rPr>
              <w:t>-</w:t>
            </w:r>
            <w:r>
              <w:rPr>
                <w:rFonts w:hint="eastAsia"/>
                <w:szCs w:val="21"/>
              </w:rPr>
              <w:t>　</w:t>
            </w:r>
          </w:p>
        </w:tc>
        <w:tc>
          <w:tcPr>
            <w:tcW w:w="1149" w:type="dxa"/>
            <w:noWrap w:val="0"/>
            <w:vAlign w:val="center"/>
          </w:tcPr>
          <w:p>
            <w:pPr>
              <w:jc w:val="center"/>
              <w:rPr>
                <w:rFonts w:ascii="宋体" w:hAnsi="宋体" w:cs="宋体"/>
                <w:szCs w:val="21"/>
              </w:rPr>
            </w:pPr>
            <w:r>
              <w:rPr>
                <w:rFonts w:hint="eastAsia"/>
                <w:szCs w:val="21"/>
              </w:rPr>
              <w:t>919</w:t>
            </w:r>
          </w:p>
        </w:tc>
        <w:tc>
          <w:tcPr>
            <w:tcW w:w="1083" w:type="dxa"/>
            <w:noWrap w:val="0"/>
            <w:vAlign w:val="center"/>
          </w:tcPr>
          <w:p>
            <w:pPr>
              <w:jc w:val="center"/>
              <w:rPr>
                <w:rFonts w:ascii="宋体" w:hAnsi="宋体" w:cs="宋体"/>
                <w:szCs w:val="21"/>
              </w:rPr>
            </w:pPr>
            <w:r>
              <w:rPr>
                <w:rFonts w:hint="eastAsia"/>
                <w:szCs w:val="21"/>
              </w:rPr>
              <w:t>185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atLeast"/>
          <w:jc w:val="center"/>
        </w:trPr>
        <w:tc>
          <w:tcPr>
            <w:tcW w:w="929" w:type="dxa"/>
            <w:vMerge w:val="continue"/>
            <w:noWrap w:val="0"/>
            <w:vAlign w:val="center"/>
          </w:tcPr>
          <w:p>
            <w:pPr>
              <w:rPr>
                <w:rFonts w:ascii="宋体" w:hAnsi="宋体" w:cs="宋体"/>
                <w:szCs w:val="21"/>
              </w:rPr>
            </w:pPr>
          </w:p>
        </w:tc>
        <w:tc>
          <w:tcPr>
            <w:tcW w:w="1031" w:type="dxa"/>
            <w:noWrap w:val="0"/>
            <w:vAlign w:val="center"/>
          </w:tcPr>
          <w:p>
            <w:pPr>
              <w:jc w:val="center"/>
              <w:rPr>
                <w:rFonts w:ascii="宋体" w:hAnsi="宋体" w:cs="宋体"/>
                <w:szCs w:val="21"/>
              </w:rPr>
            </w:pPr>
            <w:r>
              <w:rPr>
                <w:rFonts w:hint="eastAsia"/>
                <w:szCs w:val="21"/>
              </w:rPr>
              <w:t>合计</w:t>
            </w:r>
          </w:p>
        </w:tc>
        <w:tc>
          <w:tcPr>
            <w:tcW w:w="1586" w:type="dxa"/>
            <w:noWrap w:val="0"/>
            <w:vAlign w:val="center"/>
          </w:tcPr>
          <w:p>
            <w:pPr>
              <w:jc w:val="center"/>
              <w:rPr>
                <w:rFonts w:ascii="宋体" w:hAnsi="宋体" w:cs="宋体"/>
                <w:szCs w:val="21"/>
              </w:rPr>
            </w:pPr>
            <w:r>
              <w:rPr>
                <w:rFonts w:hint="eastAsia"/>
                <w:szCs w:val="21"/>
              </w:rPr>
              <w:t>3012</w:t>
            </w:r>
          </w:p>
        </w:tc>
        <w:tc>
          <w:tcPr>
            <w:tcW w:w="1403" w:type="dxa"/>
            <w:noWrap w:val="0"/>
            <w:vAlign w:val="center"/>
          </w:tcPr>
          <w:p>
            <w:pPr>
              <w:jc w:val="center"/>
              <w:rPr>
                <w:rFonts w:ascii="宋体" w:hAnsi="宋体" w:cs="宋体"/>
                <w:szCs w:val="21"/>
              </w:rPr>
            </w:pPr>
            <w:r>
              <w:rPr>
                <w:rFonts w:hint="eastAsia"/>
                <w:szCs w:val="21"/>
              </w:rPr>
              <w:t>962</w:t>
            </w:r>
          </w:p>
        </w:tc>
        <w:tc>
          <w:tcPr>
            <w:tcW w:w="1149" w:type="dxa"/>
            <w:noWrap w:val="0"/>
            <w:vAlign w:val="center"/>
          </w:tcPr>
          <w:p>
            <w:pPr>
              <w:jc w:val="center"/>
              <w:rPr>
                <w:rFonts w:ascii="宋体" w:hAnsi="宋体" w:cs="宋体"/>
                <w:szCs w:val="21"/>
              </w:rPr>
            </w:pPr>
            <w:r>
              <w:rPr>
                <w:rFonts w:hint="eastAsia"/>
                <w:szCs w:val="21"/>
              </w:rPr>
              <w:t>2607</w:t>
            </w:r>
          </w:p>
        </w:tc>
        <w:tc>
          <w:tcPr>
            <w:tcW w:w="1083" w:type="dxa"/>
            <w:noWrap w:val="0"/>
            <w:vAlign w:val="center"/>
          </w:tcPr>
          <w:p>
            <w:pPr>
              <w:jc w:val="center"/>
              <w:rPr>
                <w:rFonts w:ascii="宋体" w:hAnsi="宋体" w:cs="宋体"/>
                <w:szCs w:val="21"/>
              </w:rPr>
            </w:pPr>
            <w:r>
              <w:rPr>
                <w:rFonts w:hint="eastAsia"/>
                <w:szCs w:val="21"/>
              </w:rPr>
              <w:t>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 w:hRule="atLeast"/>
          <w:jc w:val="center"/>
        </w:trPr>
        <w:tc>
          <w:tcPr>
            <w:tcW w:w="929" w:type="dxa"/>
            <w:vMerge w:val="restart"/>
            <w:noWrap w:val="0"/>
            <w:vAlign w:val="center"/>
          </w:tcPr>
          <w:p>
            <w:pPr>
              <w:jc w:val="center"/>
              <w:rPr>
                <w:rFonts w:hint="default" w:ascii="宋体" w:hAnsi="宋体" w:eastAsia="宋体" w:cs="宋体"/>
                <w:szCs w:val="21"/>
                <w:lang w:val="en-US" w:eastAsia="zh-CN"/>
              </w:rPr>
            </w:pPr>
            <w:r>
              <w:rPr>
                <w:rFonts w:hint="eastAsia"/>
                <w:szCs w:val="21"/>
                <w:lang w:val="en-US" w:eastAsia="zh-CN"/>
              </w:rPr>
              <w:t>19年</w:t>
            </w:r>
          </w:p>
        </w:tc>
        <w:tc>
          <w:tcPr>
            <w:tcW w:w="1031" w:type="dxa"/>
            <w:noWrap w:val="0"/>
            <w:vAlign w:val="center"/>
          </w:tcPr>
          <w:p>
            <w:pPr>
              <w:jc w:val="center"/>
              <w:rPr>
                <w:rFonts w:hint="default" w:eastAsia="宋体"/>
                <w:szCs w:val="21"/>
                <w:lang w:val="en-US" w:eastAsia="zh-CN"/>
              </w:rPr>
            </w:pPr>
            <w:r>
              <w:rPr>
                <w:rFonts w:hint="eastAsia"/>
                <w:szCs w:val="21"/>
                <w:lang w:val="en-US" w:eastAsia="zh-CN"/>
              </w:rPr>
              <w:t>2017年</w:t>
            </w:r>
          </w:p>
        </w:tc>
        <w:tc>
          <w:tcPr>
            <w:tcW w:w="1586" w:type="dxa"/>
            <w:noWrap w:val="0"/>
            <w:vAlign w:val="center"/>
          </w:tcPr>
          <w:p>
            <w:pPr>
              <w:jc w:val="center"/>
              <w:rPr>
                <w:rFonts w:hint="default"/>
                <w:szCs w:val="21"/>
              </w:rPr>
            </w:pPr>
            <w:r>
              <w:rPr>
                <w:rFonts w:hint="default"/>
                <w:szCs w:val="21"/>
              </w:rPr>
              <w:t>803</w:t>
            </w:r>
          </w:p>
        </w:tc>
        <w:tc>
          <w:tcPr>
            <w:tcW w:w="1403" w:type="dxa"/>
            <w:noWrap w:val="0"/>
            <w:vAlign w:val="center"/>
          </w:tcPr>
          <w:p>
            <w:pPr>
              <w:jc w:val="center"/>
              <w:rPr>
                <w:rFonts w:hint="default"/>
                <w:szCs w:val="21"/>
              </w:rPr>
            </w:pPr>
            <w:r>
              <w:rPr>
                <w:rFonts w:hint="default"/>
                <w:szCs w:val="21"/>
              </w:rPr>
              <w:t>803</w:t>
            </w:r>
          </w:p>
        </w:tc>
        <w:tc>
          <w:tcPr>
            <w:tcW w:w="1149" w:type="dxa"/>
            <w:noWrap w:val="0"/>
            <w:vAlign w:val="center"/>
          </w:tcPr>
          <w:p>
            <w:pPr>
              <w:jc w:val="center"/>
              <w:rPr>
                <w:rFonts w:hint="default"/>
                <w:szCs w:val="21"/>
              </w:rPr>
            </w:pPr>
            <w:r>
              <w:rPr>
                <w:rFonts w:hint="default"/>
                <w:szCs w:val="21"/>
              </w:rPr>
              <w:t>704</w:t>
            </w:r>
          </w:p>
        </w:tc>
        <w:tc>
          <w:tcPr>
            <w:tcW w:w="1083" w:type="dxa"/>
            <w:noWrap w:val="0"/>
            <w:vAlign w:val="center"/>
          </w:tcPr>
          <w:p>
            <w:pPr>
              <w:jc w:val="center"/>
              <w:rPr>
                <w:rFonts w:hint="default"/>
                <w:szCs w:val="21"/>
              </w:rPr>
            </w:pPr>
            <w:r>
              <w:rPr>
                <w:rFonts w:hint="default"/>
                <w:szCs w:val="21"/>
              </w:rPr>
              <w:t>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 w:hRule="atLeast"/>
          <w:jc w:val="center"/>
        </w:trPr>
        <w:tc>
          <w:tcPr>
            <w:tcW w:w="929" w:type="dxa"/>
            <w:vMerge w:val="continue"/>
            <w:noWrap w:val="0"/>
            <w:vAlign w:val="center"/>
          </w:tcPr>
          <w:p>
            <w:pPr>
              <w:jc w:val="center"/>
              <w:rPr>
                <w:rFonts w:hint="eastAsia"/>
                <w:szCs w:val="21"/>
                <w:lang w:val="en-US" w:eastAsia="zh-CN"/>
              </w:rPr>
            </w:pPr>
          </w:p>
        </w:tc>
        <w:tc>
          <w:tcPr>
            <w:tcW w:w="1031" w:type="dxa"/>
            <w:noWrap w:val="0"/>
            <w:vAlign w:val="center"/>
          </w:tcPr>
          <w:p>
            <w:pPr>
              <w:jc w:val="center"/>
              <w:rPr>
                <w:rFonts w:hint="default" w:eastAsia="宋体"/>
                <w:szCs w:val="21"/>
                <w:lang w:val="en-US" w:eastAsia="zh-CN"/>
              </w:rPr>
            </w:pPr>
            <w:r>
              <w:rPr>
                <w:rFonts w:hint="eastAsia"/>
                <w:szCs w:val="21"/>
                <w:lang w:val="en-US" w:eastAsia="zh-CN"/>
              </w:rPr>
              <w:t>2018年</w:t>
            </w:r>
          </w:p>
        </w:tc>
        <w:tc>
          <w:tcPr>
            <w:tcW w:w="1586" w:type="dxa"/>
            <w:noWrap w:val="0"/>
            <w:vAlign w:val="center"/>
          </w:tcPr>
          <w:p>
            <w:pPr>
              <w:jc w:val="center"/>
              <w:rPr>
                <w:rFonts w:hint="default"/>
                <w:szCs w:val="21"/>
              </w:rPr>
            </w:pPr>
            <w:r>
              <w:rPr>
                <w:rFonts w:hint="default"/>
                <w:szCs w:val="21"/>
              </w:rPr>
              <w:t>826</w:t>
            </w:r>
          </w:p>
        </w:tc>
        <w:tc>
          <w:tcPr>
            <w:tcW w:w="1403" w:type="dxa"/>
            <w:noWrap w:val="0"/>
            <w:vAlign w:val="center"/>
          </w:tcPr>
          <w:p>
            <w:pPr>
              <w:jc w:val="center"/>
              <w:rPr>
                <w:rFonts w:hint="eastAsia"/>
                <w:szCs w:val="21"/>
              </w:rPr>
            </w:pPr>
          </w:p>
        </w:tc>
        <w:tc>
          <w:tcPr>
            <w:tcW w:w="1149" w:type="dxa"/>
            <w:noWrap w:val="0"/>
            <w:vAlign w:val="center"/>
          </w:tcPr>
          <w:p>
            <w:pPr>
              <w:jc w:val="center"/>
              <w:rPr>
                <w:rFonts w:hint="default"/>
                <w:szCs w:val="21"/>
              </w:rPr>
            </w:pPr>
            <w:r>
              <w:rPr>
                <w:rFonts w:hint="default"/>
                <w:szCs w:val="21"/>
              </w:rPr>
              <w:t>683</w:t>
            </w:r>
          </w:p>
        </w:tc>
        <w:tc>
          <w:tcPr>
            <w:tcW w:w="1083" w:type="dxa"/>
            <w:noWrap w:val="0"/>
            <w:vAlign w:val="center"/>
          </w:tcPr>
          <w:p>
            <w:pPr>
              <w:jc w:val="center"/>
              <w:rPr>
                <w:rFonts w:hint="default"/>
                <w:szCs w:val="21"/>
              </w:rPr>
            </w:pPr>
            <w:r>
              <w:rPr>
                <w:rFonts w:hint="default"/>
                <w:szCs w:val="21"/>
              </w:rPr>
              <w:t>143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9" w:type="dxa"/>
            <w:vMerge w:val="continue"/>
            <w:noWrap w:val="0"/>
            <w:vAlign w:val="center"/>
          </w:tcPr>
          <w:p>
            <w:pPr>
              <w:jc w:val="center"/>
              <w:rPr>
                <w:rFonts w:hint="eastAsia"/>
                <w:szCs w:val="21"/>
                <w:lang w:val="en-US" w:eastAsia="zh-CN"/>
              </w:rPr>
            </w:pPr>
          </w:p>
        </w:tc>
        <w:tc>
          <w:tcPr>
            <w:tcW w:w="1031" w:type="dxa"/>
            <w:noWrap w:val="0"/>
            <w:vAlign w:val="center"/>
          </w:tcPr>
          <w:p>
            <w:pPr>
              <w:jc w:val="center"/>
              <w:rPr>
                <w:rFonts w:hint="default" w:eastAsia="宋体"/>
                <w:szCs w:val="21"/>
                <w:lang w:val="en-US" w:eastAsia="zh-CN"/>
              </w:rPr>
            </w:pPr>
            <w:r>
              <w:rPr>
                <w:rFonts w:hint="eastAsia"/>
                <w:szCs w:val="21"/>
                <w:lang w:val="en-US" w:eastAsia="zh-CN"/>
              </w:rPr>
              <w:t>2019年</w:t>
            </w:r>
          </w:p>
        </w:tc>
        <w:tc>
          <w:tcPr>
            <w:tcW w:w="1586" w:type="dxa"/>
            <w:noWrap w:val="0"/>
            <w:vAlign w:val="center"/>
          </w:tcPr>
          <w:p>
            <w:pPr>
              <w:jc w:val="center"/>
              <w:rPr>
                <w:rFonts w:hint="default"/>
                <w:szCs w:val="21"/>
              </w:rPr>
            </w:pPr>
            <w:r>
              <w:rPr>
                <w:rFonts w:hint="default"/>
                <w:szCs w:val="21"/>
              </w:rPr>
              <w:t>1664</w:t>
            </w:r>
          </w:p>
        </w:tc>
        <w:tc>
          <w:tcPr>
            <w:tcW w:w="1403" w:type="dxa"/>
            <w:noWrap w:val="0"/>
            <w:vAlign w:val="center"/>
          </w:tcPr>
          <w:p>
            <w:pPr>
              <w:jc w:val="center"/>
              <w:rPr>
                <w:rFonts w:hint="eastAsia"/>
                <w:szCs w:val="21"/>
              </w:rPr>
            </w:pPr>
          </w:p>
        </w:tc>
        <w:tc>
          <w:tcPr>
            <w:tcW w:w="1149" w:type="dxa"/>
            <w:noWrap w:val="0"/>
            <w:vAlign w:val="center"/>
          </w:tcPr>
          <w:p>
            <w:pPr>
              <w:jc w:val="center"/>
              <w:rPr>
                <w:rFonts w:hint="default"/>
                <w:szCs w:val="21"/>
              </w:rPr>
            </w:pPr>
            <w:r>
              <w:rPr>
                <w:rFonts w:hint="default"/>
                <w:szCs w:val="21"/>
              </w:rPr>
              <w:t>1338</w:t>
            </w:r>
          </w:p>
        </w:tc>
        <w:tc>
          <w:tcPr>
            <w:tcW w:w="1083" w:type="dxa"/>
            <w:noWrap w:val="0"/>
            <w:vAlign w:val="center"/>
          </w:tcPr>
          <w:p>
            <w:pPr>
              <w:jc w:val="center"/>
              <w:rPr>
                <w:rFonts w:hint="default"/>
                <w:szCs w:val="21"/>
              </w:rPr>
            </w:pPr>
            <w:r>
              <w:rPr>
                <w:rFonts w:hint="default"/>
                <w:szCs w:val="21"/>
              </w:rPr>
              <w:t>326</w:t>
            </w: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ascii="仿宋" w:hAnsi="仿宋" w:eastAsia="仿宋" w:cs="仿宋"/>
          <w:bCs/>
          <w:sz w:val="28"/>
          <w:lang w:eastAsia="zh-CN"/>
        </w:rPr>
      </w:pPr>
      <w:r>
        <w:rPr>
          <w:rFonts w:hint="eastAsia" w:ascii="仿宋" w:hAnsi="仿宋" w:eastAsia="仿宋" w:cs="仿宋"/>
          <w:b w:val="0"/>
          <w:bCs/>
          <w:color w:val="auto"/>
          <w:sz w:val="28"/>
          <w:szCs w:val="28"/>
        </w:rPr>
        <w:t>经过系部改革及</w:t>
      </w:r>
      <w:r>
        <w:rPr>
          <w:rFonts w:hint="eastAsia" w:ascii="仿宋" w:hAnsi="仿宋" w:eastAsia="仿宋" w:cs="仿宋"/>
          <w:b w:val="0"/>
          <w:bCs/>
          <w:color w:val="auto"/>
          <w:sz w:val="28"/>
          <w:szCs w:val="28"/>
          <w:lang w:eastAsia="zh-CN"/>
        </w:rPr>
        <w:t>专业调整</w:t>
      </w:r>
      <w:r>
        <w:rPr>
          <w:rFonts w:hint="eastAsia" w:ascii="仿宋" w:hAnsi="仿宋" w:eastAsia="仿宋" w:cs="仿宋"/>
          <w:b w:val="0"/>
          <w:bCs/>
          <w:color w:val="auto"/>
          <w:sz w:val="28"/>
          <w:szCs w:val="28"/>
        </w:rPr>
        <w:t>，</w:t>
      </w:r>
      <w:r>
        <w:rPr>
          <w:rFonts w:hint="eastAsia" w:ascii="仿宋" w:hAnsi="仿宋" w:eastAsia="仿宋" w:cs="仿宋"/>
          <w:bCs/>
          <w:sz w:val="28"/>
        </w:rPr>
        <w:t>各系部在校生人数</w:t>
      </w:r>
      <w:r>
        <w:rPr>
          <w:rFonts w:hint="eastAsia" w:ascii="仿宋" w:hAnsi="仿宋" w:eastAsia="仿宋" w:cs="仿宋"/>
          <w:bCs/>
          <w:sz w:val="28"/>
          <w:lang w:eastAsia="zh-CN"/>
        </w:rPr>
        <w:t>于在校生总人数的占比较上一年度，</w:t>
      </w:r>
      <w:r>
        <w:rPr>
          <w:rFonts w:hint="eastAsia" w:ascii="仿宋" w:hAnsi="仿宋" w:eastAsia="仿宋" w:cs="仿宋"/>
          <w:bCs/>
          <w:sz w:val="28"/>
        </w:rPr>
        <w:t>逐渐趋</w:t>
      </w:r>
      <w:r>
        <w:rPr>
          <w:rFonts w:hint="eastAsia" w:ascii="仿宋" w:hAnsi="仿宋" w:eastAsia="仿宋" w:cs="仿宋"/>
          <w:bCs/>
          <w:sz w:val="28"/>
          <w:lang w:eastAsia="zh-CN"/>
        </w:rPr>
        <w:t>于</w:t>
      </w:r>
      <w:r>
        <w:rPr>
          <w:rFonts w:hint="eastAsia" w:ascii="仿宋" w:hAnsi="仿宋" w:eastAsia="仿宋" w:cs="仿宋"/>
          <w:bCs/>
          <w:sz w:val="28"/>
        </w:rPr>
        <w:t>合理</w:t>
      </w:r>
      <w:r>
        <w:rPr>
          <w:rFonts w:hint="eastAsia" w:ascii="仿宋" w:hAnsi="仿宋" w:eastAsia="仿宋" w:cs="仿宋"/>
          <w:bCs/>
          <w:sz w:val="28"/>
          <w:lang w:eastAsia="zh-CN"/>
        </w:rPr>
        <w:t>。</w:t>
      </w:r>
    </w:p>
    <w:p>
      <w:pPr>
        <w:ind w:firstLine="560" w:firstLineChars="200"/>
        <w:jc w:val="center"/>
        <w:rPr>
          <w:rFonts w:hint="eastAsia" w:ascii="宋体" w:hAnsi="宋体" w:cs="宋体"/>
          <w:sz w:val="24"/>
        </w:rPr>
      </w:pPr>
      <w:r>
        <w:rPr>
          <w:rFonts w:hint="eastAsia" w:ascii="仿宋" w:hAnsi="仿宋" w:eastAsia="仿宋" w:cs="仿宋"/>
          <w:sz w:val="28"/>
          <w:szCs w:val="28"/>
          <w:lang w:val="en-US" w:eastAsia="zh-CN"/>
        </w:rPr>
        <w:t xml:space="preserve">  </w:t>
      </w:r>
    </w:p>
    <w:p>
      <w:pPr>
        <w:jc w:val="center"/>
        <w:rPr>
          <w:rFonts w:hint="eastAsia" w:ascii="宋体" w:hAnsi="宋体" w:eastAsia="宋体" w:cs="宋体"/>
          <w:color w:val="FF0000"/>
          <w:sz w:val="24"/>
          <w:lang w:eastAsia="zh-CN"/>
        </w:rPr>
      </w:pPr>
      <w:r>
        <w:rPr>
          <w:rFonts w:hint="eastAsia" w:ascii="宋体" w:hAnsi="宋体" w:cs="宋体"/>
          <w:sz w:val="24"/>
        </w:rPr>
        <w:t>表1-</w:t>
      </w:r>
      <w:r>
        <w:rPr>
          <w:rFonts w:hint="eastAsia" w:ascii="宋体" w:hAnsi="宋体" w:cs="宋体"/>
          <w:sz w:val="24"/>
          <w:lang w:val="en-US" w:eastAsia="zh-CN"/>
        </w:rPr>
        <w:t>2</w:t>
      </w:r>
      <w:r>
        <w:rPr>
          <w:rFonts w:hint="eastAsia" w:ascii="宋体" w:hAnsi="宋体" w:cs="宋体"/>
          <w:sz w:val="24"/>
        </w:rPr>
        <w:t xml:space="preserve">   </w:t>
      </w:r>
      <w:r>
        <w:rPr>
          <w:rFonts w:hint="eastAsia" w:ascii="宋体" w:hAnsi="宋体" w:cs="宋体"/>
          <w:sz w:val="24"/>
          <w:lang w:eastAsia="zh-CN"/>
        </w:rPr>
        <w:t>各系部在校生人数比较</w:t>
      </w:r>
    </w:p>
    <w:p>
      <w:pPr>
        <w:jc w:val="center"/>
        <w:rPr>
          <w:rFonts w:ascii="等线" w:hAnsi="等线" w:eastAsia="等线"/>
          <w:szCs w:val="22"/>
        </w:rPr>
      </w:pPr>
      <w:r>
        <w:drawing>
          <wp:inline distT="0" distB="0" distL="114300" distR="114300">
            <wp:extent cx="3448685" cy="1924050"/>
            <wp:effectExtent l="0" t="0" r="1841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448685" cy="1924050"/>
                    </a:xfrm>
                    <a:prstGeom prst="rect">
                      <a:avLst/>
                    </a:prstGeom>
                    <a:noFill/>
                    <a:ln>
                      <a:noFill/>
                    </a:ln>
                  </pic:spPr>
                </pic:pic>
              </a:graphicData>
            </a:graphic>
          </wp:inline>
        </w:drawing>
      </w:r>
      <w:r>
        <w:rPr>
          <w:rFonts w:ascii="等线" w:hAnsi="等线" w:eastAsia="等线"/>
          <w:szCs w:val="22"/>
        </w:rPr>
        <w:t xml:space="preserve"> </w:t>
      </w:r>
    </w:p>
    <w:p>
      <w:pPr>
        <w:jc w:val="center"/>
        <w:rPr>
          <w:rFonts w:hint="default" w:ascii="宋体" w:hAnsi="宋体" w:cs="宋体"/>
          <w:sz w:val="24"/>
          <w:lang w:val="en-US" w:eastAsia="zh-CN"/>
        </w:rPr>
      </w:pPr>
      <w:r>
        <w:rPr>
          <w:rFonts w:hint="eastAsia" w:ascii="宋体" w:hAnsi="宋体" w:cs="宋体"/>
          <w:sz w:val="24"/>
          <w:lang w:eastAsia="zh-CN"/>
        </w:rPr>
        <w:t>图</w:t>
      </w:r>
      <w:r>
        <w:rPr>
          <w:rFonts w:hint="eastAsia" w:ascii="宋体" w:hAnsi="宋体" w:cs="宋体"/>
          <w:sz w:val="24"/>
          <w:lang w:val="en-US" w:eastAsia="zh-CN"/>
        </w:rPr>
        <w:t>1-1  各系部在校生人数占比</w:t>
      </w:r>
    </w:p>
    <w:p>
      <w:pPr>
        <w:jc w:val="center"/>
        <w:rPr>
          <w:rFonts w:hint="eastAsia"/>
          <w:sz w:val="24"/>
          <w:szCs w:val="24"/>
        </w:rPr>
      </w:pPr>
      <w:r>
        <w:object>
          <v:shape id="_x0000_i1025" o:spt="75" type="#_x0000_t75" style="height:136.5pt;width:252pt;" o:ole="t" filled="f" o:preferrelative="t" stroked="f" coordsize="21600,21600">
            <v:path/>
            <v:fill on="f" focussize="0,0"/>
            <v:stroke on="f"/>
            <v:imagedata r:id="rId9" croptop="10059f" o:title=""/>
            <o:lock v:ext="edit" aspectratio="t"/>
            <w10:wrap type="none"/>
            <w10:anchorlock/>
          </v:shape>
          <o:OLEObject Type="Embed" ProgID="Excel.Chart.8" ShapeID="_x0000_i1025" DrawAspect="Content" ObjectID="_1468075725" r:id="rId8">
            <o:LockedField>false</o:LockedField>
          </o:OLEObject>
        </w:object>
      </w:r>
    </w:p>
    <w:p>
      <w:pPr>
        <w:pStyle w:val="5"/>
        <w:pageBreakBefore w:val="0"/>
        <w:widowControl w:val="0"/>
        <w:kinsoku/>
        <w:wordWrap/>
        <w:overflowPunct/>
        <w:topLinePunct w:val="0"/>
        <w:autoSpaceDE/>
        <w:autoSpaceDN/>
        <w:bidi w:val="0"/>
        <w:adjustRightInd/>
        <w:snapToGrid/>
        <w:spacing w:before="0" w:after="0" w:line="460" w:lineRule="exact"/>
        <w:ind w:firstLine="422"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36"/>
          <w:lang w:val="en-US" w:eastAsia="zh-CN"/>
        </w:rPr>
        <w:t xml:space="preserve">1.3 </w:t>
      </w:r>
      <w:r>
        <w:rPr>
          <w:rFonts w:hint="eastAsia" w:ascii="仿宋" w:hAnsi="仿宋" w:eastAsia="仿宋" w:cs="仿宋"/>
          <w:color w:val="auto"/>
          <w:sz w:val="28"/>
          <w:szCs w:val="36"/>
        </w:rPr>
        <w:t>教师队伍</w:t>
      </w:r>
    </w:p>
    <w:p>
      <w:pPr>
        <w:pageBreakBefore w:val="0"/>
        <w:widowControl w:val="0"/>
        <w:kinsoku/>
        <w:wordWrap/>
        <w:overflowPunct/>
        <w:topLinePunct w:val="0"/>
        <w:autoSpaceDE/>
        <w:autoSpaceDN/>
        <w:bidi w:val="0"/>
        <w:adjustRightInd/>
        <w:snapToGrid/>
        <w:spacing w:line="460" w:lineRule="exact"/>
        <w:ind w:firstLine="420" w:firstLineChars="150"/>
        <w:textAlignment w:val="auto"/>
        <w:rPr>
          <w:rFonts w:hint="eastAsia" w:ascii="仿宋" w:hAnsi="仿宋" w:eastAsia="仿宋" w:cs="仿宋"/>
          <w:color w:val="auto"/>
        </w:rPr>
      </w:pPr>
      <w:r>
        <w:rPr>
          <w:rFonts w:hint="eastAsia" w:ascii="仿宋" w:hAnsi="仿宋" w:eastAsia="仿宋" w:cs="仿宋"/>
          <w:color w:val="auto"/>
          <w:sz w:val="28"/>
          <w:szCs w:val="28"/>
        </w:rPr>
        <w:t>学校现有教职工193人，其中专任教师167人，硕士及以上学历22人，本科以上学历161人，分别占专任教师总数的13.2%和96.4%。高级职称45人，占专任教师总数的26.9%。经教育厅认证的“双师型”教师74人，占专任教师总数的44.3%。校外兼职教师4人，占专任教师总数的1.3%，自治区名师工程培养对象5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专任教师的生师比为</w:t>
      </w:r>
      <w:r>
        <w:rPr>
          <w:rFonts w:hint="eastAsia" w:ascii="仿宋" w:hAnsi="仿宋" w:eastAsia="仿宋" w:cs="仿宋"/>
          <w:color w:val="auto"/>
          <w:sz w:val="28"/>
          <w:szCs w:val="28"/>
          <w:lang w:val="en-US" w:eastAsia="zh-CN"/>
        </w:rPr>
        <w:t>20:1</w:t>
      </w:r>
      <w:r>
        <w:rPr>
          <w:rFonts w:hint="eastAsia" w:ascii="仿宋" w:hAnsi="仿宋" w:eastAsia="仿宋" w:cs="仿宋"/>
          <w:color w:val="auto"/>
        </w:rPr>
        <w:t>。</w:t>
      </w:r>
    </w:p>
    <w:p>
      <w:pPr>
        <w:pageBreakBefore w:val="0"/>
        <w:kinsoku/>
        <w:wordWrap/>
        <w:overflowPunct/>
        <w:topLinePunct w:val="0"/>
        <w:autoSpaceDE/>
        <w:autoSpaceDN/>
        <w:bidi w:val="0"/>
        <w:adjustRightInd/>
        <w:snapToGrid/>
        <w:spacing w:line="480" w:lineRule="exact"/>
        <w:jc w:val="center"/>
        <w:textAlignment w:val="auto"/>
        <w:rPr>
          <w:rFonts w:hint="eastAsia" w:ascii="宋体" w:hAnsi="宋体"/>
          <w:b/>
          <w:bCs/>
          <w:color w:val="auto"/>
        </w:rPr>
      </w:pPr>
      <w:r>
        <w:rPr>
          <w:rFonts w:hint="eastAsia" w:ascii="宋体" w:hAnsi="宋体"/>
          <w:b/>
          <w:bCs/>
          <w:color w:val="auto"/>
        </w:rPr>
        <w:t>表1-2   2017年</w:t>
      </w:r>
      <w:r>
        <w:rPr>
          <w:rFonts w:ascii="宋体" w:hAnsi="宋体"/>
          <w:b/>
          <w:bCs/>
          <w:color w:val="auto"/>
        </w:rPr>
        <w:t>与</w:t>
      </w:r>
      <w:r>
        <w:rPr>
          <w:rFonts w:hint="eastAsia" w:ascii="宋体" w:hAnsi="宋体"/>
          <w:b/>
          <w:bCs/>
          <w:color w:val="auto"/>
        </w:rPr>
        <w:t>2018年师</w:t>
      </w:r>
      <w:r>
        <w:rPr>
          <w:rFonts w:ascii="宋体" w:hAnsi="宋体"/>
          <w:b/>
          <w:bCs/>
          <w:color w:val="auto"/>
        </w:rPr>
        <w:t>资力量比对</w:t>
      </w:r>
    </w:p>
    <w:tbl>
      <w:tblPr>
        <w:tblStyle w:val="11"/>
        <w:tblW w:w="7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88"/>
        <w:gridCol w:w="771"/>
        <w:gridCol w:w="943"/>
        <w:gridCol w:w="1103"/>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43" w:type="dxa"/>
            <w:vMerge w:val="restart"/>
            <w:noWrap w:val="0"/>
            <w:vAlign w:val="center"/>
          </w:tcPr>
          <w:p>
            <w:pPr>
              <w:jc w:val="center"/>
              <w:rPr>
                <w:rFonts w:hint="eastAsia" w:ascii="宋体" w:hAnsi="宋体"/>
                <w:color w:val="auto"/>
                <w:szCs w:val="21"/>
              </w:rPr>
            </w:pPr>
            <w:r>
              <w:rPr>
                <w:rFonts w:hint="eastAsia" w:ascii="宋体" w:hAnsi="宋体"/>
                <w:color w:val="auto"/>
                <w:szCs w:val="21"/>
              </w:rPr>
              <w:t>类别</w:t>
            </w:r>
          </w:p>
        </w:tc>
        <w:tc>
          <w:tcPr>
            <w:tcW w:w="888" w:type="dxa"/>
            <w:vMerge w:val="restart"/>
            <w:noWrap w:val="0"/>
            <w:vAlign w:val="center"/>
          </w:tcPr>
          <w:p>
            <w:pPr>
              <w:jc w:val="center"/>
              <w:rPr>
                <w:rFonts w:hint="eastAsia" w:ascii="宋体" w:hAnsi="宋体"/>
                <w:color w:val="auto"/>
                <w:szCs w:val="21"/>
              </w:rPr>
            </w:pPr>
            <w:r>
              <w:rPr>
                <w:rFonts w:hint="eastAsia" w:ascii="宋体" w:hAnsi="宋体"/>
                <w:color w:val="auto"/>
                <w:szCs w:val="21"/>
              </w:rPr>
              <w:t>教职工</w:t>
            </w:r>
          </w:p>
        </w:tc>
        <w:tc>
          <w:tcPr>
            <w:tcW w:w="4478" w:type="dxa"/>
            <w:gridSpan w:val="4"/>
            <w:noWrap w:val="0"/>
            <w:vAlign w:val="center"/>
          </w:tcPr>
          <w:p>
            <w:pPr>
              <w:jc w:val="center"/>
              <w:rPr>
                <w:rFonts w:hint="eastAsia" w:ascii="宋体" w:hAnsi="宋体"/>
                <w:color w:val="auto"/>
                <w:szCs w:val="21"/>
              </w:rPr>
            </w:pPr>
            <w:r>
              <w:rPr>
                <w:rFonts w:hint="eastAsia" w:ascii="宋体" w:hAnsi="宋体"/>
                <w:color w:val="auto"/>
                <w:szCs w:val="21"/>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3" w:type="dxa"/>
            <w:vMerge w:val="continue"/>
            <w:noWrap w:val="0"/>
            <w:vAlign w:val="center"/>
          </w:tcPr>
          <w:p>
            <w:pPr>
              <w:jc w:val="center"/>
              <w:rPr>
                <w:rFonts w:hint="eastAsia" w:ascii="宋体" w:hAnsi="宋体"/>
                <w:color w:val="auto"/>
                <w:szCs w:val="21"/>
              </w:rPr>
            </w:pPr>
          </w:p>
        </w:tc>
        <w:tc>
          <w:tcPr>
            <w:tcW w:w="888" w:type="dxa"/>
            <w:vMerge w:val="continue"/>
            <w:noWrap w:val="0"/>
            <w:vAlign w:val="center"/>
          </w:tcPr>
          <w:p>
            <w:pPr>
              <w:jc w:val="center"/>
              <w:rPr>
                <w:rFonts w:hint="eastAsia" w:ascii="宋体" w:hAnsi="宋体"/>
                <w:color w:val="auto"/>
                <w:szCs w:val="21"/>
              </w:rPr>
            </w:pPr>
          </w:p>
        </w:tc>
        <w:tc>
          <w:tcPr>
            <w:tcW w:w="771" w:type="dxa"/>
            <w:noWrap w:val="0"/>
            <w:vAlign w:val="center"/>
          </w:tcPr>
          <w:p>
            <w:pPr>
              <w:jc w:val="center"/>
              <w:rPr>
                <w:rFonts w:hint="eastAsia" w:ascii="宋体" w:hAnsi="宋体"/>
                <w:color w:val="auto"/>
                <w:szCs w:val="21"/>
              </w:rPr>
            </w:pPr>
            <w:r>
              <w:rPr>
                <w:rFonts w:hint="eastAsia" w:ascii="宋体" w:hAnsi="宋体"/>
                <w:color w:val="auto"/>
                <w:szCs w:val="21"/>
              </w:rPr>
              <w:t>硕士</w:t>
            </w:r>
          </w:p>
        </w:tc>
        <w:tc>
          <w:tcPr>
            <w:tcW w:w="943" w:type="dxa"/>
            <w:noWrap w:val="0"/>
            <w:vAlign w:val="center"/>
          </w:tcPr>
          <w:p>
            <w:pPr>
              <w:jc w:val="center"/>
              <w:rPr>
                <w:rFonts w:hint="eastAsia" w:ascii="宋体" w:hAnsi="宋体"/>
                <w:color w:val="auto"/>
                <w:szCs w:val="21"/>
              </w:rPr>
            </w:pPr>
            <w:r>
              <w:rPr>
                <w:rFonts w:hint="eastAsia" w:ascii="宋体" w:hAnsi="宋体"/>
                <w:color w:val="auto"/>
                <w:szCs w:val="21"/>
              </w:rPr>
              <w:t>本</w:t>
            </w:r>
            <w:r>
              <w:rPr>
                <w:rFonts w:ascii="宋体" w:hAnsi="宋体"/>
                <w:color w:val="auto"/>
                <w:szCs w:val="21"/>
              </w:rPr>
              <w:t>科</w:t>
            </w:r>
          </w:p>
        </w:tc>
        <w:tc>
          <w:tcPr>
            <w:tcW w:w="1103" w:type="dxa"/>
            <w:noWrap w:val="0"/>
            <w:vAlign w:val="center"/>
          </w:tcPr>
          <w:p>
            <w:pPr>
              <w:jc w:val="center"/>
              <w:rPr>
                <w:rFonts w:hint="eastAsia" w:ascii="宋体" w:hAnsi="宋体"/>
                <w:color w:val="auto"/>
                <w:szCs w:val="21"/>
              </w:rPr>
            </w:pPr>
            <w:r>
              <w:rPr>
                <w:rFonts w:hint="eastAsia" w:ascii="宋体" w:hAnsi="宋体"/>
                <w:color w:val="auto"/>
                <w:szCs w:val="21"/>
              </w:rPr>
              <w:t>高级职称</w:t>
            </w:r>
          </w:p>
        </w:tc>
        <w:tc>
          <w:tcPr>
            <w:tcW w:w="1661" w:type="dxa"/>
            <w:noWrap w:val="0"/>
            <w:vAlign w:val="center"/>
          </w:tcPr>
          <w:p>
            <w:pPr>
              <w:jc w:val="center"/>
              <w:rPr>
                <w:rFonts w:hint="eastAsia" w:ascii="宋体" w:hAnsi="宋体"/>
                <w:color w:val="auto"/>
                <w:szCs w:val="21"/>
              </w:rPr>
            </w:pPr>
            <w:r>
              <w:rPr>
                <w:rFonts w:hint="eastAsia" w:ascii="宋体" w:hAnsi="宋体"/>
                <w:color w:val="auto"/>
                <w:szCs w:val="21"/>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43" w:type="dxa"/>
            <w:noWrap w:val="0"/>
            <w:vAlign w:val="top"/>
          </w:tcPr>
          <w:p>
            <w:pPr>
              <w:jc w:val="center"/>
              <w:rPr>
                <w:rFonts w:hint="eastAsia" w:ascii="宋体" w:hAnsi="宋体"/>
                <w:color w:val="auto"/>
                <w:szCs w:val="21"/>
              </w:rPr>
            </w:pPr>
            <w:r>
              <w:rPr>
                <w:rFonts w:hint="eastAsia" w:ascii="微软雅黑" w:hAnsi="微软雅黑" w:eastAsia="微软雅黑"/>
                <w:color w:val="auto"/>
                <w:szCs w:val="21"/>
                <w:shd w:val="clear" w:color="auto" w:fill="FFFFFF"/>
              </w:rPr>
              <w:t>2018年人数（人）</w:t>
            </w:r>
          </w:p>
        </w:tc>
        <w:tc>
          <w:tcPr>
            <w:tcW w:w="888" w:type="dxa"/>
            <w:noWrap w:val="0"/>
            <w:vAlign w:val="top"/>
          </w:tcPr>
          <w:p>
            <w:pPr>
              <w:jc w:val="center"/>
              <w:rPr>
                <w:rFonts w:hint="eastAsia" w:ascii="宋体" w:hAnsi="宋体"/>
                <w:color w:val="auto"/>
                <w:szCs w:val="21"/>
              </w:rPr>
            </w:pPr>
            <w:r>
              <w:rPr>
                <w:rFonts w:hint="eastAsia" w:ascii="微软雅黑" w:hAnsi="微软雅黑" w:eastAsia="微软雅黑"/>
                <w:color w:val="auto"/>
                <w:szCs w:val="21"/>
                <w:shd w:val="clear" w:color="auto" w:fill="FFFFFF"/>
              </w:rPr>
              <w:t>191</w:t>
            </w:r>
          </w:p>
        </w:tc>
        <w:tc>
          <w:tcPr>
            <w:tcW w:w="771" w:type="dxa"/>
            <w:noWrap w:val="0"/>
            <w:vAlign w:val="top"/>
          </w:tcPr>
          <w:p>
            <w:pPr>
              <w:jc w:val="center"/>
              <w:rPr>
                <w:rFonts w:hint="eastAsia" w:ascii="宋体" w:hAnsi="宋体"/>
                <w:color w:val="auto"/>
                <w:szCs w:val="21"/>
              </w:rPr>
            </w:pPr>
            <w:r>
              <w:rPr>
                <w:rFonts w:hint="eastAsia" w:ascii="微软雅黑" w:hAnsi="微软雅黑" w:eastAsia="微软雅黑"/>
                <w:color w:val="auto"/>
                <w:szCs w:val="21"/>
                <w:shd w:val="clear" w:color="auto" w:fill="FFFFFF"/>
              </w:rPr>
              <w:t>14</w:t>
            </w:r>
          </w:p>
        </w:tc>
        <w:tc>
          <w:tcPr>
            <w:tcW w:w="943" w:type="dxa"/>
            <w:noWrap w:val="0"/>
            <w:vAlign w:val="top"/>
          </w:tcPr>
          <w:p>
            <w:pPr>
              <w:jc w:val="center"/>
              <w:rPr>
                <w:rFonts w:hint="eastAsia" w:ascii="宋体" w:hAnsi="宋体"/>
                <w:color w:val="auto"/>
                <w:szCs w:val="21"/>
              </w:rPr>
            </w:pPr>
            <w:r>
              <w:rPr>
                <w:rFonts w:hint="eastAsia" w:ascii="微软雅黑" w:hAnsi="微软雅黑" w:eastAsia="微软雅黑"/>
                <w:color w:val="auto"/>
                <w:szCs w:val="21"/>
                <w:shd w:val="clear" w:color="auto" w:fill="FFFFFF"/>
              </w:rPr>
              <w:t>148</w:t>
            </w:r>
          </w:p>
        </w:tc>
        <w:tc>
          <w:tcPr>
            <w:tcW w:w="1103" w:type="dxa"/>
            <w:noWrap w:val="0"/>
            <w:vAlign w:val="top"/>
          </w:tcPr>
          <w:p>
            <w:pPr>
              <w:jc w:val="center"/>
              <w:rPr>
                <w:rFonts w:hint="eastAsia" w:ascii="宋体" w:hAnsi="宋体"/>
                <w:color w:val="auto"/>
                <w:szCs w:val="21"/>
              </w:rPr>
            </w:pPr>
            <w:r>
              <w:rPr>
                <w:rFonts w:hint="eastAsia" w:ascii="微软雅黑" w:hAnsi="微软雅黑" w:eastAsia="微软雅黑"/>
                <w:color w:val="auto"/>
                <w:szCs w:val="21"/>
                <w:shd w:val="clear" w:color="auto" w:fill="FFFFFF"/>
              </w:rPr>
              <w:t>44</w:t>
            </w:r>
          </w:p>
        </w:tc>
        <w:tc>
          <w:tcPr>
            <w:tcW w:w="1661" w:type="dxa"/>
            <w:noWrap w:val="0"/>
            <w:vAlign w:val="top"/>
          </w:tcPr>
          <w:p>
            <w:pPr>
              <w:jc w:val="center"/>
              <w:rPr>
                <w:rFonts w:hint="eastAsia" w:ascii="宋体" w:hAnsi="宋体"/>
                <w:color w:val="auto"/>
                <w:szCs w:val="21"/>
              </w:rPr>
            </w:pPr>
            <w:r>
              <w:rPr>
                <w:rFonts w:hint="eastAsia" w:ascii="微软雅黑" w:hAnsi="微软雅黑" w:eastAsia="微软雅黑"/>
                <w:color w:val="auto"/>
                <w:szCs w:val="21"/>
                <w:shd w:val="clear" w:color="auto" w:fill="FFFFFF"/>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843"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2019年人数（人）</w:t>
            </w:r>
          </w:p>
        </w:tc>
        <w:tc>
          <w:tcPr>
            <w:tcW w:w="888"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193</w:t>
            </w:r>
          </w:p>
        </w:tc>
        <w:tc>
          <w:tcPr>
            <w:tcW w:w="771"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22</w:t>
            </w:r>
          </w:p>
        </w:tc>
        <w:tc>
          <w:tcPr>
            <w:tcW w:w="943"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161</w:t>
            </w:r>
          </w:p>
        </w:tc>
        <w:tc>
          <w:tcPr>
            <w:tcW w:w="1103"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45</w:t>
            </w:r>
          </w:p>
        </w:tc>
        <w:tc>
          <w:tcPr>
            <w:tcW w:w="1661"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43"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2019年净增（人）</w:t>
            </w:r>
          </w:p>
        </w:tc>
        <w:tc>
          <w:tcPr>
            <w:tcW w:w="888" w:type="dxa"/>
            <w:noWrap w:val="0"/>
            <w:vAlign w:val="top"/>
          </w:tcPr>
          <w:p>
            <w:pPr>
              <w:jc w:val="center"/>
              <w:rPr>
                <w:rFonts w:hint="eastAsia" w:ascii="宋体" w:hAnsi="宋体" w:eastAsia="宋体"/>
                <w:color w:val="00B050"/>
                <w:szCs w:val="21"/>
                <w:lang w:eastAsia="zh-CN"/>
              </w:rPr>
            </w:pPr>
            <w:r>
              <w:rPr>
                <w:rFonts w:hint="eastAsia" w:ascii="微软雅黑" w:hAnsi="微软雅黑" w:eastAsia="微软雅黑"/>
                <w:color w:val="111F2C"/>
                <w:szCs w:val="21"/>
                <w:shd w:val="clear" w:color="auto" w:fill="FFFFFF"/>
                <w:lang w:val="en-US" w:eastAsia="zh-CN"/>
              </w:rPr>
              <w:t>2</w:t>
            </w:r>
          </w:p>
        </w:tc>
        <w:tc>
          <w:tcPr>
            <w:tcW w:w="771"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8</w:t>
            </w:r>
          </w:p>
        </w:tc>
        <w:tc>
          <w:tcPr>
            <w:tcW w:w="943"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13</w:t>
            </w:r>
          </w:p>
        </w:tc>
        <w:tc>
          <w:tcPr>
            <w:tcW w:w="1103"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shd w:val="clear" w:color="auto" w:fill="FFFFFF"/>
              </w:rPr>
              <w:t>1</w:t>
            </w:r>
          </w:p>
        </w:tc>
        <w:tc>
          <w:tcPr>
            <w:tcW w:w="1661" w:type="dxa"/>
            <w:noWrap w:val="0"/>
            <w:vAlign w:val="top"/>
          </w:tcPr>
          <w:p>
            <w:pPr>
              <w:jc w:val="center"/>
              <w:rPr>
                <w:rFonts w:hint="eastAsia" w:ascii="宋体" w:hAnsi="宋体"/>
                <w:color w:val="00B050"/>
                <w:szCs w:val="21"/>
              </w:rPr>
            </w:pPr>
            <w:r>
              <w:rPr>
                <w:rFonts w:hint="eastAsia" w:ascii="微软雅黑" w:hAnsi="微软雅黑" w:eastAsia="微软雅黑"/>
                <w:color w:val="111F2C"/>
                <w:szCs w:val="21"/>
              </w:rPr>
              <w:t>4</w:t>
            </w:r>
          </w:p>
        </w:tc>
      </w:tr>
    </w:tbl>
    <w:p>
      <w:pPr>
        <w:pStyle w:val="5"/>
        <w:pageBreakBefore w:val="0"/>
        <w:kinsoku/>
        <w:wordWrap/>
        <w:overflowPunct/>
        <w:topLinePunct w:val="0"/>
        <w:autoSpaceDE/>
        <w:autoSpaceDN/>
        <w:bidi w:val="0"/>
        <w:adjustRightInd/>
        <w:snapToGrid/>
        <w:spacing w:before="0" w:after="0" w:line="480" w:lineRule="exact"/>
        <w:ind w:firstLine="562" w:firstLineChars="200"/>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 xml:space="preserve">1.4 </w:t>
      </w:r>
      <w:r>
        <w:rPr>
          <w:rFonts w:hint="eastAsia" w:ascii="仿宋" w:hAnsi="仿宋" w:eastAsia="仿宋" w:cs="仿宋"/>
          <w:color w:val="auto"/>
          <w:sz w:val="28"/>
          <w:szCs w:val="36"/>
        </w:rPr>
        <w:t>设施设备</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学校不断优化办学环境，</w:t>
      </w:r>
      <w:r>
        <w:rPr>
          <w:rFonts w:hint="eastAsia" w:ascii="仿宋" w:hAnsi="仿宋" w:eastAsia="仿宋" w:cs="仿宋"/>
          <w:color w:val="auto"/>
          <w:sz w:val="28"/>
          <w:szCs w:val="28"/>
          <w:lang w:eastAsia="zh-CN"/>
        </w:rPr>
        <w:t>原</w:t>
      </w:r>
      <w:r>
        <w:rPr>
          <w:rFonts w:hint="eastAsia" w:ascii="仿宋" w:hAnsi="仿宋" w:eastAsia="仿宋" w:cs="仿宋"/>
          <w:color w:val="auto"/>
          <w:sz w:val="28"/>
          <w:szCs w:val="28"/>
        </w:rPr>
        <w:t>有国家级汽车检修技能型紧缺人才培养培训基地1个，广西中职唯一的实车型汽车整车装配实训基地1个。汽车运用与维修实训基地、新能源汽车信息化实训中心、风行汽车故障诊断和零部件鉴定中心、汽车装配与调整实训基地、数控与机械加工实训中心、焊接技术实训中心、物流实训中心、汽车整车与配件营销综合实训室、汽车驾驶体验中心等综合实训场所</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个；汽车运用与维修专业理实一体化专业教室24间，计算机室8间，云技术计算机机房3间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智慧教室3间，教学资源制作中心、CAD/CAM机房、心理咨询室、现代制造技术体验中心(3D打印)各1间。全部教室配备了多媒体教学设备，有效地促进了信息化教学的实践。</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2019年</w:t>
      </w:r>
      <w:r>
        <w:rPr>
          <w:rFonts w:hint="eastAsia" w:ascii="仿宋" w:hAnsi="仿宋" w:eastAsia="仿宋" w:cs="仿宋"/>
          <w:color w:val="auto"/>
          <w:sz w:val="28"/>
          <w:szCs w:val="28"/>
          <w:lang w:eastAsia="zh-CN"/>
        </w:rPr>
        <w:t>学校新建和续建</w:t>
      </w:r>
      <w:r>
        <w:rPr>
          <w:rFonts w:hint="eastAsia" w:ascii="仿宋" w:hAnsi="仿宋" w:eastAsia="仿宋" w:cs="仿宋"/>
          <w:color w:val="auto"/>
          <w:sz w:val="28"/>
          <w:szCs w:val="28"/>
        </w:rPr>
        <w:t>航海技术实训基地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数字媒体教学实训室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电梯综合实训中心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国际邮轮乘务3D虚拟仿真实训室</w:t>
      </w:r>
      <w:r>
        <w:rPr>
          <w:rFonts w:hint="eastAsia" w:ascii="仿宋" w:hAnsi="仿宋" w:eastAsia="仿宋" w:cs="仿宋"/>
          <w:color w:val="auto"/>
          <w:sz w:val="28"/>
          <w:szCs w:val="28"/>
          <w:lang w:eastAsia="zh-CN"/>
        </w:rPr>
        <w:t>等</w:t>
      </w:r>
      <w:r>
        <w:rPr>
          <w:rFonts w:hint="eastAsia" w:ascii="仿宋" w:hAnsi="仿宋" w:eastAsia="仿宋" w:cs="仿宋"/>
          <w:color w:val="auto"/>
          <w:sz w:val="28"/>
          <w:szCs w:val="28"/>
          <w:lang w:val="en-US" w:eastAsia="zh-CN"/>
        </w:rPr>
        <w:t>6个综合性实训基地</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lang w:val="en-US" w:eastAsia="zh-CN"/>
        </w:rPr>
        <w:t>积极推进校园建设，提高硬件条件。</w:t>
      </w:r>
      <w:r>
        <w:rPr>
          <w:rFonts w:hint="default" w:ascii="仿宋" w:hAnsi="仿宋" w:eastAsia="仿宋" w:cs="仿宋"/>
          <w:color w:val="auto"/>
          <w:sz w:val="28"/>
          <w:szCs w:val="28"/>
          <w:lang w:eastAsia="zh-CN"/>
        </w:rPr>
        <w:t>一是</w:t>
      </w:r>
      <w:r>
        <w:rPr>
          <w:rFonts w:hint="eastAsia" w:ascii="仿宋" w:hAnsi="仿宋" w:eastAsia="仿宋" w:cs="仿宋"/>
          <w:color w:val="auto"/>
          <w:sz w:val="28"/>
          <w:szCs w:val="28"/>
        </w:rPr>
        <w:t>市委、市政府投入1000多万元对学校5栋宿舍进行改造，很大程度改善了住宿条件。</w:t>
      </w:r>
      <w:r>
        <w:rPr>
          <w:rFonts w:hint="eastAsia" w:ascii="仿宋" w:hAnsi="仿宋" w:eastAsia="仿宋" w:cs="仿宋"/>
          <w:color w:val="auto"/>
          <w:sz w:val="28"/>
          <w:szCs w:val="28"/>
          <w:lang w:eastAsia="zh-CN"/>
        </w:rPr>
        <w:t>二是</w:t>
      </w:r>
      <w:r>
        <w:rPr>
          <w:rFonts w:hint="eastAsia" w:ascii="仿宋" w:hAnsi="仿宋" w:eastAsia="仿宋" w:cs="仿宋"/>
          <w:color w:val="auto"/>
          <w:sz w:val="28"/>
          <w:szCs w:val="28"/>
        </w:rPr>
        <w:t>完成学生食</w:t>
      </w:r>
      <w:r>
        <w:rPr>
          <w:rFonts w:hint="default" w:ascii="仿宋" w:hAnsi="仿宋" w:eastAsia="仿宋" w:cs="仿宋"/>
          <w:color w:val="auto"/>
          <w:sz w:val="28"/>
          <w:szCs w:val="28"/>
        </w:rPr>
        <w:t>堂</w:t>
      </w:r>
      <w:r>
        <w:rPr>
          <w:rFonts w:hint="eastAsia" w:ascii="仿宋" w:hAnsi="仿宋" w:eastAsia="仿宋" w:cs="仿宋"/>
          <w:color w:val="auto"/>
          <w:sz w:val="28"/>
          <w:szCs w:val="28"/>
        </w:rPr>
        <w:t>改造，对原有食堂进行了明厨亮灶改造及色标管理；并将食堂二楼舞蹈教室改造成就餐区，使学生就餐座位增加到640个，缓解了学生的就餐拥挤现象；三是通过租赁方式在学生宿舍安装空调330台，增加一台315kva变压器，改善了学生的住宿条件；四是女生宿舍加装空气能热水系统，彻底解决了我校学生洗澡长期以来依靠外来送水的方式。</w:t>
      </w:r>
      <w:r>
        <w:rPr>
          <w:rFonts w:hint="default" w:ascii="仿宋" w:hAnsi="仿宋" w:eastAsia="仿宋" w:cs="仿宋"/>
          <w:color w:val="auto"/>
          <w:sz w:val="28"/>
          <w:szCs w:val="28"/>
        </w:rPr>
        <w:t>五</w:t>
      </w:r>
      <w:r>
        <w:rPr>
          <w:rFonts w:hint="eastAsia" w:ascii="仿宋" w:hAnsi="仿宋" w:eastAsia="仿宋" w:cs="仿宋"/>
          <w:color w:val="auto"/>
          <w:sz w:val="28"/>
          <w:szCs w:val="28"/>
        </w:rPr>
        <w:t>是投入使用新建实训楼，进一步满足了学校实训教学的需求。</w:t>
      </w:r>
      <w:r>
        <w:rPr>
          <w:rFonts w:hint="default" w:ascii="仿宋" w:hAnsi="仿宋" w:eastAsia="仿宋" w:cs="仿宋"/>
          <w:color w:val="auto"/>
          <w:sz w:val="28"/>
          <w:szCs w:val="28"/>
        </w:rPr>
        <w:t>六</w:t>
      </w:r>
      <w:r>
        <w:rPr>
          <w:rFonts w:hint="eastAsia" w:ascii="仿宋" w:hAnsi="仿宋" w:eastAsia="仿宋" w:cs="仿宋"/>
          <w:color w:val="auto"/>
          <w:sz w:val="28"/>
          <w:szCs w:val="28"/>
        </w:rPr>
        <w:t>是将学校杂物房改造成教工食堂，一定程度缓解了学生食堂的就餐拥挤及方便教职工午餐问题。</w:t>
      </w:r>
      <w:r>
        <w:rPr>
          <w:rFonts w:hint="default" w:ascii="仿宋" w:hAnsi="仿宋" w:eastAsia="仿宋" w:cs="仿宋"/>
          <w:color w:val="auto"/>
          <w:sz w:val="28"/>
          <w:szCs w:val="28"/>
        </w:rPr>
        <w:t>七</w:t>
      </w:r>
      <w:r>
        <w:rPr>
          <w:rFonts w:hint="eastAsia" w:ascii="仿宋" w:hAnsi="仿宋" w:eastAsia="仿宋" w:cs="仿宋"/>
          <w:color w:val="auto"/>
          <w:sz w:val="28"/>
          <w:szCs w:val="28"/>
        </w:rPr>
        <w:t>是完成了学校电梯实训室、新汽车维修特约维修站、展望楼教室、舞蹈教室、驾培二楼教室、驾驶培训中心的装修工程，新增教室16间。</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截止</w:t>
      </w:r>
      <w:r>
        <w:rPr>
          <w:rFonts w:hint="eastAsia" w:ascii="仿宋" w:hAnsi="仿宋" w:eastAsia="仿宋" w:cs="仿宋"/>
          <w:color w:val="auto"/>
          <w:sz w:val="28"/>
          <w:szCs w:val="28"/>
          <w:lang w:val="en-US" w:eastAsia="zh-CN"/>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底</w:t>
      </w:r>
      <w:r>
        <w:rPr>
          <w:rFonts w:hint="eastAsia" w:ascii="仿宋" w:hAnsi="仿宋" w:eastAsia="仿宋" w:cs="仿宋"/>
          <w:color w:val="auto"/>
          <w:sz w:val="28"/>
          <w:szCs w:val="28"/>
        </w:rPr>
        <w:t>，学校教学仪器设备总值4985.65万元，生均设备</w:t>
      </w:r>
      <w:r>
        <w:rPr>
          <w:rFonts w:hint="eastAsia" w:ascii="仿宋" w:hAnsi="仿宋" w:eastAsia="仿宋" w:cs="仿宋"/>
          <w:color w:val="auto"/>
          <w:sz w:val="28"/>
          <w:szCs w:val="28"/>
          <w:u w:val="none"/>
        </w:rPr>
        <w:t>值</w:t>
      </w:r>
      <w:r>
        <w:rPr>
          <w:rFonts w:hint="eastAsia" w:ascii="仿宋" w:hAnsi="仿宋" w:eastAsia="仿宋" w:cs="仿宋"/>
          <w:color w:val="auto"/>
          <w:sz w:val="28"/>
          <w:szCs w:val="28"/>
          <w:u w:val="none"/>
          <w:lang w:val="en-US" w:eastAsia="zh-CN"/>
        </w:rPr>
        <w:t>1.514万</w:t>
      </w:r>
      <w:r>
        <w:rPr>
          <w:rFonts w:hint="eastAsia" w:ascii="仿宋" w:hAnsi="仿宋" w:eastAsia="仿宋" w:cs="仿宋"/>
          <w:color w:val="auto"/>
          <w:sz w:val="28"/>
          <w:szCs w:val="28"/>
          <w:u w:val="none"/>
        </w:rPr>
        <w:t>元；</w:t>
      </w:r>
      <w:r>
        <w:rPr>
          <w:rFonts w:hint="eastAsia" w:ascii="仿宋" w:hAnsi="仿宋" w:eastAsia="仿宋" w:cs="仿宋"/>
          <w:color w:val="auto"/>
          <w:sz w:val="28"/>
          <w:szCs w:val="28"/>
          <w:u w:val="none"/>
          <w:lang w:eastAsia="zh-CN"/>
        </w:rPr>
        <w:t>由于</w:t>
      </w:r>
      <w:r>
        <w:rPr>
          <w:rFonts w:hint="eastAsia" w:ascii="仿宋" w:hAnsi="仿宋" w:eastAsia="仿宋" w:cs="仿宋"/>
          <w:color w:val="auto"/>
          <w:sz w:val="28"/>
          <w:szCs w:val="28"/>
          <w:u w:val="none"/>
          <w:lang w:val="en-US" w:eastAsia="zh-CN"/>
        </w:rPr>
        <w:t>2019年学校招生人数增长较快，</w:t>
      </w:r>
      <w:r>
        <w:rPr>
          <w:rFonts w:hint="eastAsia" w:ascii="仿宋" w:hAnsi="仿宋" w:eastAsia="仿宋" w:cs="仿宋"/>
          <w:color w:val="auto"/>
          <w:sz w:val="28"/>
          <w:szCs w:val="28"/>
          <w:u w:val="none"/>
        </w:rPr>
        <w:t>生均设备值较上一年度</w:t>
      </w:r>
      <w:r>
        <w:rPr>
          <w:rFonts w:hint="eastAsia" w:ascii="仿宋" w:hAnsi="仿宋" w:eastAsia="仿宋" w:cs="仿宋"/>
          <w:color w:val="auto"/>
          <w:sz w:val="28"/>
          <w:szCs w:val="28"/>
          <w:u w:val="none"/>
          <w:lang w:eastAsia="zh-CN"/>
        </w:rPr>
        <w:t>减少</w:t>
      </w:r>
      <w:r>
        <w:rPr>
          <w:rFonts w:hint="eastAsia" w:ascii="仿宋" w:hAnsi="仿宋" w:eastAsia="仿宋" w:cs="仿宋"/>
          <w:color w:val="auto"/>
          <w:sz w:val="28"/>
          <w:szCs w:val="28"/>
          <w:u w:val="none"/>
          <w:lang w:val="en-US" w:eastAsia="zh-CN"/>
        </w:rPr>
        <w:t>0.2894万元</w:t>
      </w:r>
      <w:r>
        <w:rPr>
          <w:rFonts w:hint="eastAsia" w:ascii="仿宋" w:hAnsi="仿宋" w:eastAsia="仿宋" w:cs="仿宋"/>
          <w:color w:val="auto"/>
          <w:sz w:val="28"/>
          <w:szCs w:val="28"/>
          <w:u w:val="none"/>
        </w:rPr>
        <w:t>，生均工位数</w:t>
      </w:r>
      <w:r>
        <w:rPr>
          <w:rFonts w:hint="eastAsia" w:ascii="仿宋" w:hAnsi="仿宋" w:eastAsia="仿宋" w:cs="仿宋"/>
          <w:color w:val="auto"/>
          <w:sz w:val="28"/>
          <w:szCs w:val="28"/>
          <w:u w:val="none"/>
          <w:lang w:val="en-US" w:eastAsia="zh-CN"/>
        </w:rPr>
        <w:t>0.6</w:t>
      </w:r>
      <w:r>
        <w:rPr>
          <w:rFonts w:hint="eastAsia" w:ascii="仿宋" w:hAnsi="仿宋" w:eastAsia="仿宋" w:cs="仿宋"/>
          <w:color w:val="auto"/>
          <w:sz w:val="28"/>
          <w:szCs w:val="28"/>
          <w:u w:val="none"/>
        </w:rPr>
        <w:t>个。现有馆</w:t>
      </w:r>
      <w:r>
        <w:rPr>
          <w:rFonts w:hint="eastAsia" w:ascii="仿宋" w:hAnsi="仿宋" w:eastAsia="仿宋" w:cs="仿宋"/>
          <w:color w:val="auto"/>
          <w:sz w:val="28"/>
          <w:szCs w:val="28"/>
        </w:rPr>
        <w:t>藏适用印刷图书12万余册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生均图书达</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册</w:t>
      </w:r>
      <w:r>
        <w:rPr>
          <w:rFonts w:hint="eastAsia" w:ascii="仿宋" w:hAnsi="仿宋" w:eastAsia="仿宋" w:cs="仿宋"/>
          <w:color w:val="auto"/>
          <w:sz w:val="28"/>
          <w:szCs w:val="28"/>
          <w:lang w:eastAsia="zh-CN"/>
        </w:rPr>
        <w:t>。2019年学生实习岗位数300个，比2018年学生实习岗位数多22个。</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2 </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学生发展</w:t>
      </w:r>
    </w:p>
    <w:p>
      <w:pPr>
        <w:pStyle w:val="5"/>
        <w:pageBreakBefore w:val="0"/>
        <w:kinsoku/>
        <w:wordWrap/>
        <w:overflowPunct/>
        <w:topLinePunct w:val="0"/>
        <w:autoSpaceDE/>
        <w:autoSpaceDN/>
        <w:bidi w:val="0"/>
        <w:adjustRightInd/>
        <w:snapToGrid/>
        <w:spacing w:before="0" w:after="0" w:line="480" w:lineRule="exact"/>
        <w:ind w:firstLine="562" w:firstLineChars="200"/>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 xml:space="preserve">2.1 </w:t>
      </w:r>
      <w:r>
        <w:rPr>
          <w:rFonts w:hint="eastAsia" w:ascii="仿宋" w:hAnsi="仿宋" w:eastAsia="仿宋" w:cs="仿宋"/>
          <w:color w:val="auto"/>
          <w:sz w:val="28"/>
          <w:szCs w:val="36"/>
        </w:rPr>
        <w:t>学生素质</w:t>
      </w:r>
    </w:p>
    <w:p>
      <w:pPr>
        <w:keepNext w:val="0"/>
        <w:keepLines w:val="0"/>
        <w:pageBreakBefore w:val="0"/>
        <w:widowControl w:val="0"/>
        <w:kinsoku/>
        <w:wordWrap/>
        <w:overflowPunct/>
        <w:topLinePunct w:val="0"/>
        <w:autoSpaceDE/>
        <w:autoSpaceDN/>
        <w:bidi w:val="0"/>
        <w:adjustRightInd/>
        <w:snapToGrid/>
        <w:spacing w:line="480" w:lineRule="exact"/>
        <w:ind w:firstLine="561"/>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2019年学校对学生管理工作进行了系列改革。通过制定、修订和实施《柳州市交通学校校风校纪督查情况“红黑榜”制度（试行）》《柳州市交通学校学生八种违纪行为“事不过三”教育活动方案》《学生行为“三大纪律”和“十条准则”学习实践活动方案》等实施方案，不断提高学生素质；同时通过制定实施“星级学生”“星级宿舍”“星级班级”等管理制度，打造“星级质量管理文化”，帮助学生明确努力目标，提高学生学习目标，增强学生自我获得感和满足感。经过一年的改革，学校学生的思想政治水平不断提高，文化课合格率达到95.2%，专业技能合格率98.3%，体质测评合格率96.8%，毕业率99%，与较上一年度相比有明显提高。</w:t>
      </w:r>
    </w:p>
    <w:p>
      <w:pPr>
        <w:ind w:firstLine="560"/>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 xml:space="preserve">2.2 </w:t>
      </w:r>
      <w:r>
        <w:rPr>
          <w:rFonts w:hint="eastAsia" w:ascii="仿宋" w:hAnsi="仿宋" w:eastAsia="仿宋" w:cs="仿宋"/>
          <w:b/>
          <w:bCs/>
          <w:color w:val="auto"/>
          <w:sz w:val="28"/>
          <w:szCs w:val="36"/>
        </w:rPr>
        <w:t>在校体验</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学校坚持教书育人与服务育人并举，努力打造家长放心、学生满意、企业欢迎的学校。学校每学期召开学生座谈会，充分听取学生对教学、管理、生活等各方面的意见建议，加大投入，不断改善育人环境和服务水平</w:t>
      </w:r>
      <w:r>
        <w:rPr>
          <w:rFonts w:hint="eastAsia" w:ascii="仿宋" w:hAnsi="仿宋" w:eastAsia="仿宋" w:cs="仿宋"/>
          <w:color w:val="auto"/>
          <w:sz w:val="28"/>
          <w:szCs w:val="28"/>
          <w:lang w:eastAsia="zh-CN"/>
        </w:rPr>
        <w:t>，丰富社团活动和开展多样化的第二课堂，在丰富学生业余生活的同时培养学生特长，增强学生的自我获得感。学校争取各级资金对宿舍、食堂、热水系统等进行了改造与更新，并且在宿舍加装了空调，提高了学生的学习生活条件。</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在校学生对理论学习、专业学习、实习实训、校园文化与社团活动、生活条件、校园安全等的满意度较上一年度都有不同程度的提高。另外，</w:t>
      </w:r>
      <w:r>
        <w:rPr>
          <w:rFonts w:hint="eastAsia" w:ascii="仿宋" w:hAnsi="仿宋" w:eastAsia="仿宋" w:cs="仿宋"/>
          <w:sz w:val="28"/>
          <w:szCs w:val="28"/>
          <w:lang w:val="en-US" w:eastAsia="zh-CN"/>
        </w:rPr>
        <w:t>2019年学生在校外实习实训满意度为</w:t>
      </w:r>
      <w:r>
        <w:rPr>
          <w:rFonts w:hint="eastAsia" w:ascii="仿宋" w:hAnsi="仿宋" w:eastAsia="仿宋" w:cs="仿宋"/>
          <w:kern w:val="0"/>
          <w:sz w:val="28"/>
          <w:szCs w:val="28"/>
          <w:lang w:val="en-US" w:eastAsia="zh-CN"/>
        </w:rPr>
        <w:t>82.77%</w:t>
      </w:r>
      <w:r>
        <w:rPr>
          <w:rFonts w:hint="eastAsia" w:ascii="仿宋" w:hAnsi="仿宋" w:eastAsia="仿宋" w:cs="仿宋"/>
          <w:sz w:val="28"/>
          <w:szCs w:val="28"/>
          <w:lang w:val="en-US" w:eastAsia="zh-CN"/>
        </w:rPr>
        <w:t>，较2018年实习实训满意度提高3</w:t>
      </w:r>
      <w:r>
        <w:rPr>
          <w:rFonts w:hint="eastAsia" w:ascii="仿宋" w:hAnsi="仿宋" w:eastAsia="仿宋" w:cs="仿宋"/>
          <w:kern w:val="0"/>
          <w:sz w:val="28"/>
          <w:szCs w:val="28"/>
          <w:lang w:val="en-US" w:eastAsia="zh-CN"/>
        </w:rPr>
        <w:t>个百分点。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2.3 资助情况</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auto"/>
          <w:sz w:val="28"/>
          <w:szCs w:val="36"/>
          <w:lang w:eastAsia="zh-CN"/>
        </w:rPr>
      </w:pPr>
      <w:r>
        <w:rPr>
          <w:rFonts w:hint="eastAsia" w:ascii="仿宋" w:hAnsi="仿宋" w:eastAsia="仿宋" w:cs="仿宋"/>
          <w:b w:val="0"/>
          <w:bCs w:val="0"/>
          <w:color w:val="auto"/>
          <w:sz w:val="28"/>
          <w:szCs w:val="36"/>
          <w:lang w:eastAsia="zh-CN"/>
        </w:rPr>
        <w:t>学校通过</w:t>
      </w:r>
      <w:r>
        <w:rPr>
          <w:rFonts w:hint="eastAsia" w:ascii="仿宋" w:hAnsi="仿宋" w:eastAsia="仿宋" w:cs="仿宋"/>
          <w:b w:val="0"/>
          <w:bCs w:val="0"/>
          <w:color w:val="auto"/>
          <w:sz w:val="28"/>
          <w:szCs w:val="36"/>
        </w:rPr>
        <w:t>多种形式开展宣传，</w:t>
      </w:r>
      <w:r>
        <w:rPr>
          <w:rFonts w:hint="eastAsia" w:ascii="仿宋" w:hAnsi="仿宋" w:eastAsia="仿宋" w:cs="仿宋"/>
          <w:b w:val="0"/>
          <w:bCs w:val="0"/>
          <w:color w:val="auto"/>
          <w:sz w:val="28"/>
          <w:szCs w:val="36"/>
          <w:lang w:eastAsia="zh-CN"/>
        </w:rPr>
        <w:t>学生</w:t>
      </w:r>
      <w:r>
        <w:rPr>
          <w:rFonts w:hint="eastAsia" w:ascii="仿宋" w:hAnsi="仿宋" w:eastAsia="仿宋" w:cs="仿宋"/>
          <w:b w:val="0"/>
          <w:bCs w:val="0"/>
          <w:color w:val="auto"/>
          <w:sz w:val="28"/>
          <w:szCs w:val="36"/>
        </w:rPr>
        <w:t>政策知晓率高</w:t>
      </w:r>
      <w:r>
        <w:rPr>
          <w:rFonts w:hint="eastAsia" w:ascii="仿宋" w:hAnsi="仿宋" w:eastAsia="仿宋" w:cs="仿宋"/>
          <w:b w:val="0"/>
          <w:bCs w:val="0"/>
          <w:color w:val="auto"/>
          <w:sz w:val="28"/>
          <w:szCs w:val="36"/>
          <w:lang w:eastAsia="zh-CN"/>
        </w:rPr>
        <w:t>。同时，学校严格落实国家助学金、免学费、奖学金等助学政策。2019年，享受国家助学金20628人次，共计发放助学金192.9万元。享受国家免学费政策学生5674人次，共计免除学费567.4万元。获得国家奖学金5人，共计发放国家奖学金3万元；获得自治区奖学金61人，共计自治区发放奖学金12.2万元。获得学校奖学金224人，共计发放学校奖学金1.48万元。获得学校春雨助学金24人，共计发放助学金额1.2万元。</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 xml:space="preserve">2.4 </w:t>
      </w:r>
      <w:r>
        <w:rPr>
          <w:rFonts w:hint="eastAsia" w:ascii="仿宋" w:hAnsi="仿宋" w:eastAsia="仿宋" w:cs="仿宋"/>
          <w:b/>
          <w:bCs/>
          <w:color w:val="auto"/>
          <w:sz w:val="28"/>
          <w:szCs w:val="36"/>
        </w:rPr>
        <w:t>就业质量</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2019年学校学生的就业率、就业质量及升学率都得到提高。</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auto"/>
          <w:sz w:val="28"/>
          <w:szCs w:val="36"/>
        </w:rPr>
      </w:pPr>
      <w:r>
        <w:rPr>
          <w:rFonts w:hint="eastAsia" w:ascii="仿宋" w:hAnsi="仿宋" w:eastAsia="仿宋" w:cs="仿宋"/>
          <w:b w:val="0"/>
          <w:bCs w:val="0"/>
          <w:color w:val="auto"/>
          <w:sz w:val="28"/>
          <w:szCs w:val="36"/>
        </w:rPr>
        <w:t>2019年公路运输管理毕业生就业率95.92%，焊接技术应用毕业生就业率100%，模具制造技术93.755</w:t>
      </w:r>
      <w:r>
        <w:rPr>
          <w:rFonts w:hint="eastAsia" w:ascii="仿宋" w:hAnsi="仿宋" w:eastAsia="仿宋" w:cs="仿宋"/>
          <w:b w:val="0"/>
          <w:bCs w:val="0"/>
          <w:color w:val="auto"/>
          <w:sz w:val="28"/>
          <w:szCs w:val="36"/>
          <w:lang w:val="en-US" w:eastAsia="zh-CN"/>
        </w:rPr>
        <w:t>%</w:t>
      </w:r>
      <w:r>
        <w:rPr>
          <w:rFonts w:hint="eastAsia" w:ascii="仿宋" w:hAnsi="仿宋" w:eastAsia="仿宋" w:cs="仿宋"/>
          <w:b w:val="0"/>
          <w:bCs w:val="0"/>
          <w:color w:val="auto"/>
          <w:sz w:val="28"/>
          <w:szCs w:val="36"/>
        </w:rPr>
        <w:t>,汽车美容与装潢82.76%，汽车运用与维修82.45%，汽车整车与配件营销83.33%，汽车制造与检修72.96%，数控技术应用91.67%，物流服务与管理91.89%，新能源汽车运用与维修91.43%。</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auto"/>
          <w:sz w:val="28"/>
          <w:szCs w:val="36"/>
        </w:rPr>
      </w:pPr>
      <w:r>
        <w:rPr>
          <w:rFonts w:hint="eastAsia" w:ascii="仿宋" w:hAnsi="仿宋" w:eastAsia="仿宋" w:cs="仿宋"/>
          <w:b w:val="0"/>
          <w:bCs w:val="0"/>
          <w:color w:val="auto"/>
          <w:sz w:val="28"/>
          <w:szCs w:val="36"/>
          <w:lang w:val="en-US" w:eastAsia="zh-CN"/>
        </w:rPr>
        <w:t>2019年</w:t>
      </w:r>
      <w:r>
        <w:rPr>
          <w:rFonts w:hint="eastAsia" w:ascii="仿宋" w:hAnsi="仿宋" w:eastAsia="仿宋" w:cs="仿宋"/>
          <w:b w:val="0"/>
          <w:bCs w:val="0"/>
          <w:color w:val="auto"/>
          <w:sz w:val="28"/>
          <w:szCs w:val="36"/>
        </w:rPr>
        <w:t>学生实习平均起薪2300元/月，对口就业率77.03%</w:t>
      </w:r>
      <w:r>
        <w:rPr>
          <w:rFonts w:hint="eastAsia" w:ascii="仿宋" w:hAnsi="仿宋" w:eastAsia="仿宋" w:cs="仿宋"/>
          <w:b w:val="0"/>
          <w:bCs w:val="0"/>
          <w:color w:val="auto"/>
          <w:sz w:val="28"/>
          <w:szCs w:val="36"/>
          <w:lang w:val="en-US" w:eastAsia="zh-CN"/>
        </w:rPr>
        <w:t>,</w:t>
      </w:r>
      <w:r>
        <w:rPr>
          <w:rFonts w:hint="eastAsia" w:ascii="仿宋" w:hAnsi="仿宋" w:eastAsia="仿宋" w:cs="仿宋"/>
          <w:b w:val="0"/>
          <w:bCs w:val="0"/>
          <w:color w:val="auto"/>
          <w:sz w:val="28"/>
          <w:szCs w:val="36"/>
        </w:rPr>
        <w:t>2018年毕业生平均起薪（元/月）2147元，对口就业率为71.27%，2019年相比2018年实习对口就业率和起薪均有提高。</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auto"/>
          <w:sz w:val="28"/>
          <w:szCs w:val="36"/>
        </w:rPr>
      </w:pPr>
      <w:r>
        <w:rPr>
          <w:rFonts w:hint="eastAsia" w:ascii="仿宋" w:hAnsi="仿宋" w:eastAsia="仿宋" w:cs="仿宋"/>
          <w:b w:val="0"/>
          <w:bCs w:val="0"/>
          <w:color w:val="auto"/>
          <w:sz w:val="28"/>
          <w:szCs w:val="36"/>
        </w:rPr>
        <w:t>2019年升入</w:t>
      </w:r>
      <w:r>
        <w:rPr>
          <w:rFonts w:hint="eastAsia" w:ascii="仿宋" w:hAnsi="仿宋" w:eastAsia="仿宋" w:cs="仿宋"/>
          <w:b w:val="0"/>
          <w:bCs w:val="0"/>
          <w:color w:val="auto"/>
          <w:sz w:val="28"/>
          <w:szCs w:val="36"/>
          <w:lang w:eastAsia="zh-CN"/>
        </w:rPr>
        <w:t>高职及以上院校</w:t>
      </w:r>
      <w:r>
        <w:rPr>
          <w:rFonts w:hint="eastAsia" w:ascii="仿宋" w:hAnsi="仿宋" w:eastAsia="仿宋" w:cs="仿宋"/>
          <w:b w:val="0"/>
          <w:bCs w:val="0"/>
          <w:color w:val="auto"/>
          <w:sz w:val="28"/>
          <w:szCs w:val="36"/>
        </w:rPr>
        <w:t>共212人，2018年升入</w:t>
      </w:r>
      <w:r>
        <w:rPr>
          <w:rFonts w:hint="eastAsia" w:ascii="仿宋" w:hAnsi="仿宋" w:eastAsia="仿宋" w:cs="仿宋"/>
          <w:b w:val="0"/>
          <w:bCs w:val="0"/>
          <w:color w:val="auto"/>
          <w:sz w:val="28"/>
          <w:szCs w:val="36"/>
          <w:lang w:eastAsia="zh-CN"/>
        </w:rPr>
        <w:t>高职及以上院校</w:t>
      </w:r>
      <w:r>
        <w:rPr>
          <w:rFonts w:hint="eastAsia" w:ascii="仿宋" w:hAnsi="仿宋" w:eastAsia="仿宋" w:cs="仿宋"/>
          <w:b w:val="0"/>
          <w:bCs w:val="0"/>
          <w:color w:val="auto"/>
          <w:sz w:val="28"/>
          <w:szCs w:val="36"/>
        </w:rPr>
        <w:t>64人，2019相比2018年升学人数上浮69.81%，我校</w:t>
      </w:r>
      <w:r>
        <w:rPr>
          <w:rFonts w:hint="default" w:ascii="仿宋" w:hAnsi="仿宋" w:eastAsia="仿宋" w:cs="仿宋"/>
          <w:b w:val="0"/>
          <w:bCs w:val="0"/>
          <w:color w:val="auto"/>
          <w:sz w:val="28"/>
          <w:szCs w:val="36"/>
        </w:rPr>
        <w:t>近</w:t>
      </w:r>
      <w:r>
        <w:rPr>
          <w:rFonts w:hint="eastAsia" w:ascii="仿宋" w:hAnsi="仿宋" w:eastAsia="仿宋" w:cs="仿宋"/>
          <w:b w:val="0"/>
          <w:bCs w:val="0"/>
          <w:color w:val="auto"/>
          <w:sz w:val="28"/>
          <w:szCs w:val="36"/>
        </w:rPr>
        <w:t>两年升学率持续增长。</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rPr>
        <w:t>2.5职业发展</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36"/>
        </w:rPr>
        <w:t>学校以</w:t>
      </w:r>
      <w:r>
        <w:rPr>
          <w:rFonts w:hint="eastAsia" w:ascii="仿宋" w:hAnsi="仿宋" w:eastAsia="仿宋" w:cs="仿宋"/>
          <w:b w:val="0"/>
          <w:bCs w:val="0"/>
          <w:color w:val="auto"/>
          <w:sz w:val="28"/>
          <w:szCs w:val="36"/>
          <w:lang w:eastAsia="zh-CN"/>
        </w:rPr>
        <w:t>“德技并举、志善相彰</w:t>
      </w:r>
      <w:r>
        <w:rPr>
          <w:rFonts w:hint="eastAsia" w:ascii="仿宋" w:hAnsi="仿宋" w:eastAsia="仿宋" w:cs="仿宋"/>
          <w:b w:val="0"/>
          <w:bCs w:val="0"/>
          <w:color w:val="auto"/>
          <w:sz w:val="28"/>
          <w:szCs w:val="36"/>
          <w:lang w:val="en-US" w:eastAsia="zh-CN"/>
        </w:rPr>
        <w:t>”为办学理念，高度重视</w:t>
      </w:r>
      <w:r>
        <w:rPr>
          <w:rFonts w:hint="eastAsia" w:ascii="仿宋" w:hAnsi="仿宋" w:eastAsia="仿宋" w:cs="仿宋"/>
          <w:b w:val="0"/>
          <w:bCs w:val="0"/>
          <w:color w:val="auto"/>
          <w:sz w:val="28"/>
          <w:szCs w:val="36"/>
        </w:rPr>
        <w:t>学生的职业发展和职</w:t>
      </w:r>
      <w:r>
        <w:rPr>
          <w:rFonts w:hint="eastAsia" w:ascii="仿宋" w:hAnsi="仿宋" w:eastAsia="仿宋" w:cs="仿宋"/>
          <w:b w:val="0"/>
          <w:bCs w:val="0"/>
          <w:color w:val="auto"/>
          <w:sz w:val="28"/>
          <w:szCs w:val="28"/>
        </w:rPr>
        <w:t>业能力的培养。</w:t>
      </w:r>
      <w:r>
        <w:rPr>
          <w:rFonts w:hint="eastAsia" w:ascii="仿宋" w:hAnsi="仿宋" w:eastAsia="仿宋" w:cs="仿宋"/>
          <w:b w:val="0"/>
          <w:bCs w:val="0"/>
          <w:color w:val="auto"/>
          <w:sz w:val="28"/>
          <w:szCs w:val="28"/>
          <w:lang w:eastAsia="zh-CN"/>
        </w:rPr>
        <w:t>学校根据</w:t>
      </w:r>
      <w:r>
        <w:rPr>
          <w:rFonts w:hint="eastAsia" w:ascii="仿宋" w:hAnsi="仿宋" w:eastAsia="仿宋" w:cs="仿宋"/>
          <w:b w:val="0"/>
          <w:bCs w:val="0"/>
          <w:color w:val="auto"/>
          <w:sz w:val="28"/>
          <w:szCs w:val="28"/>
        </w:rPr>
        <w:t>学生实习回访情况，对学生的学习能力、岗位适应能力、岗位迁移能力、创新创业能力情况进行分析</w:t>
      </w:r>
      <w:r>
        <w:rPr>
          <w:rFonts w:hint="eastAsia" w:ascii="仿宋" w:hAnsi="仿宋" w:eastAsia="仿宋" w:cs="仿宋"/>
          <w:b w:val="0"/>
          <w:bCs w:val="0"/>
          <w:color w:val="auto"/>
          <w:sz w:val="28"/>
          <w:szCs w:val="28"/>
          <w:lang w:eastAsia="zh-CN"/>
        </w:rPr>
        <w:t>，得出：</w:t>
      </w:r>
      <w:r>
        <w:rPr>
          <w:rFonts w:hint="eastAsia" w:ascii="仿宋" w:hAnsi="仿宋" w:eastAsia="仿宋" w:cs="仿宋"/>
          <w:b w:val="0"/>
          <w:bCs w:val="0"/>
          <w:color w:val="auto"/>
          <w:sz w:val="28"/>
          <w:szCs w:val="28"/>
        </w:rPr>
        <w:t>在学习能力和岗位适应能力</w:t>
      </w:r>
      <w:r>
        <w:rPr>
          <w:rFonts w:hint="eastAsia" w:ascii="仿宋" w:hAnsi="仿宋" w:eastAsia="仿宋" w:cs="仿宋"/>
          <w:b w:val="0"/>
          <w:bCs w:val="0"/>
          <w:color w:val="auto"/>
          <w:sz w:val="28"/>
          <w:szCs w:val="28"/>
          <w:lang w:eastAsia="zh-CN"/>
        </w:rPr>
        <w:t>方面，</w:t>
      </w:r>
      <w:r>
        <w:rPr>
          <w:rFonts w:hint="eastAsia" w:ascii="仿宋" w:hAnsi="仿宋" w:eastAsia="仿宋" w:cs="仿宋"/>
          <w:b w:val="0"/>
          <w:bCs w:val="0"/>
          <w:color w:val="auto"/>
          <w:sz w:val="28"/>
          <w:szCs w:val="28"/>
        </w:rPr>
        <w:t>学生刚离开校园进入单位实习时，由于角色和人文环境的变化，部分学生对实习岗位的适应能力较弱，但学习能力较强，半数以上学生到企业培训一段时间后就能上岗，随着时间的推移，学生的岗位适应能力逐步提高。岗位迁移能力</w:t>
      </w:r>
      <w:r>
        <w:rPr>
          <w:rFonts w:hint="eastAsia" w:ascii="仿宋" w:hAnsi="仿宋" w:eastAsia="仿宋" w:cs="仿宋"/>
          <w:b w:val="0"/>
          <w:bCs w:val="0"/>
          <w:color w:val="auto"/>
          <w:sz w:val="28"/>
          <w:szCs w:val="28"/>
          <w:lang w:eastAsia="zh-CN"/>
        </w:rPr>
        <w:t>方面，学生</w:t>
      </w:r>
      <w:r>
        <w:rPr>
          <w:rFonts w:hint="default" w:ascii="仿宋" w:hAnsi="仿宋" w:eastAsia="仿宋" w:cs="仿宋"/>
          <w:b w:val="0"/>
          <w:bCs w:val="0"/>
          <w:color w:val="auto"/>
          <w:sz w:val="28"/>
          <w:szCs w:val="28"/>
          <w:lang w:eastAsia="zh-CN"/>
        </w:rPr>
        <w:t>尚</w:t>
      </w:r>
      <w:r>
        <w:rPr>
          <w:rFonts w:hint="eastAsia" w:ascii="仿宋" w:hAnsi="仿宋" w:eastAsia="仿宋" w:cs="仿宋"/>
          <w:b w:val="0"/>
          <w:bCs w:val="0"/>
          <w:color w:val="auto"/>
          <w:sz w:val="28"/>
          <w:szCs w:val="28"/>
        </w:rPr>
        <w:t>有待提高，特别是通用能力和素质能力。在创新创业能力</w:t>
      </w:r>
      <w:r>
        <w:rPr>
          <w:rFonts w:hint="eastAsia" w:ascii="仿宋" w:hAnsi="仿宋" w:eastAsia="仿宋" w:cs="仿宋"/>
          <w:b w:val="0"/>
          <w:bCs w:val="0"/>
          <w:color w:val="auto"/>
          <w:sz w:val="28"/>
          <w:szCs w:val="28"/>
          <w:lang w:eastAsia="zh-CN"/>
        </w:rPr>
        <w:t>方面</w:t>
      </w:r>
      <w:r>
        <w:rPr>
          <w:rFonts w:hint="eastAsia" w:ascii="仿宋" w:hAnsi="仿宋" w:eastAsia="仿宋" w:cs="仿宋"/>
          <w:b w:val="0"/>
          <w:bCs w:val="0"/>
          <w:color w:val="auto"/>
          <w:sz w:val="28"/>
          <w:szCs w:val="28"/>
        </w:rPr>
        <w:t>，近两年，我校学生仅有不到5%的学生自主创业，学生在创新创业能力上也有待提高，包括认知能力，操作能力，适应能力等。</w:t>
      </w:r>
    </w:p>
    <w:p>
      <w:pPr>
        <w:pageBreakBefore w:val="0"/>
        <w:widowControl w:val="0"/>
        <w:kinsoku/>
        <w:wordWrap/>
        <w:overflowPunct/>
        <w:topLinePunct w:val="0"/>
        <w:autoSpaceDE/>
        <w:autoSpaceDN/>
        <w:bidi w:val="0"/>
        <w:adjustRightInd/>
        <w:snapToGrid/>
        <w:spacing w:line="480" w:lineRule="exact"/>
        <w:ind w:firstLine="562" w:firstLineChars="20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3.质量保障措施</w:t>
      </w:r>
    </w:p>
    <w:p>
      <w:pPr>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3.1 专业动态调整</w:t>
      </w:r>
    </w:p>
    <w:p>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学校</w:t>
      </w:r>
      <w:r>
        <w:rPr>
          <w:rFonts w:hint="eastAsia" w:ascii="仿宋" w:hAnsi="仿宋" w:eastAsia="仿宋" w:cs="仿宋"/>
          <w:b w:val="0"/>
          <w:bCs/>
          <w:color w:val="auto"/>
          <w:sz w:val="28"/>
          <w:szCs w:val="28"/>
        </w:rPr>
        <w:t>积极调整专业布局，不断推动专业建设</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一是围绕学校专业发展布局，调整系部结构，将原“交通工程系”划分成“交通服务工程系”和“航海与路桥工程系”，学校由“三系一部”变为“四系一部”。二是根据产业链发展，调整专业群。2019年度，学校完善专业申报流程，完成《社会文化艺术》《电梯安装与维修保养》《邮轮乘务》3个新专业评审及申报工作，其中《电梯安装与维修保养》《邮轮乘务》获教育厅同意开设批复备案。撤销《焊接技术应用》专业。各专业通过深入企业行业调研，形成调研报告13份。修订完善专业人才培训方案13个、专业教学标准13个</w:t>
      </w:r>
      <w:r>
        <w:rPr>
          <w:rFonts w:hint="eastAsia" w:ascii="仿宋" w:hAnsi="仿宋" w:eastAsia="仿宋" w:cs="仿宋"/>
          <w:b w:val="0"/>
          <w:bCs/>
          <w:color w:val="auto"/>
          <w:sz w:val="28"/>
          <w:szCs w:val="28"/>
          <w:lang w:eastAsia="zh-CN"/>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为响应国家号召，专门开设军事体育专业，并与柳南区人民武装部共同制定人才培养计划和方案，有针对性的培养军队所需人才。目前学校已与柳南区人民武装部、融水县武装部、三江县武装部、柳江区武装部达成军民融合合作意向；与其他县区武装部的合作正在进一步洽淡中。该专业已从柳州市5县5区及市外招收53名学生进行培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3.2 教育教学改革</w:t>
      </w:r>
    </w:p>
    <w:p>
      <w:pPr>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3.2.1 课程教学改革,</w:t>
      </w:r>
      <w:r>
        <w:rPr>
          <w:rFonts w:hint="eastAsia" w:ascii="仿宋" w:hAnsi="仿宋" w:eastAsia="仿宋" w:cs="仿宋"/>
          <w:b/>
          <w:bCs w:val="0"/>
          <w:color w:val="auto"/>
          <w:sz w:val="28"/>
          <w:szCs w:val="28"/>
        </w:rPr>
        <w:t>全面提升学生素质</w:t>
      </w:r>
    </w:p>
    <w:p>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以德为先，将工匠精神、人文素养教育融入学生校园生活和教学的全过程。德技并举，开展以职业能力为本位、以项目课程为主体、以职业活动为主线的模块化课程改革，加大实践在教学中的比重，提高学生职业素养和职业技能。</w:t>
      </w:r>
      <w:r>
        <w:rPr>
          <w:rFonts w:hint="eastAsia" w:ascii="仿宋" w:hAnsi="仿宋" w:eastAsia="仿宋" w:cs="仿宋"/>
          <w:b w:val="0"/>
          <w:bCs/>
          <w:color w:val="auto"/>
          <w:sz w:val="28"/>
          <w:szCs w:val="28"/>
          <w:lang w:eastAsia="zh-CN"/>
        </w:rPr>
        <w:t>不断</w:t>
      </w:r>
      <w:r>
        <w:rPr>
          <w:rFonts w:hint="eastAsia" w:ascii="仿宋" w:hAnsi="仿宋" w:eastAsia="仿宋" w:cs="仿宋"/>
          <w:b w:val="0"/>
          <w:bCs/>
          <w:color w:val="auto"/>
          <w:sz w:val="28"/>
          <w:szCs w:val="28"/>
        </w:rPr>
        <w:t>改革教学模式，创新教学方法</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以学生为主体，以操作为主线，以技能为目标，创新、探索、实践切合中职学生学习实际的教学模式，寓“教、学、做”于一体，提高学生课堂学习的积极性。</w:t>
      </w:r>
    </w:p>
    <w:p>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持续推进校级精品课程、校本特色课程的建设工作；组织修订完成课程标准124门，与企业共同开发2本实训工作页。</w:t>
      </w:r>
      <w:r>
        <w:rPr>
          <w:rFonts w:hint="eastAsia" w:ascii="仿宋" w:hAnsi="仿宋" w:eastAsia="仿宋" w:cs="仿宋"/>
          <w:b w:val="0"/>
          <w:bCs/>
          <w:color w:val="auto"/>
          <w:sz w:val="28"/>
          <w:szCs w:val="28"/>
          <w:lang w:val="en-US" w:eastAsia="zh-CN"/>
        </w:rPr>
        <w:t>开设丰富的选修课，激发学生兴趣爱好，拓宽学生发展空间，培养学生实践创新能力，增强学生自信和内在驱动力。开设足球、啦啦操、书法、芦笙、无人机操控、摄影、建筑DIY，汽车日常保养、心理沙龙等选修课36门，受益学生1200人。</w:t>
      </w:r>
    </w:p>
    <w:p>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学校</w:t>
      </w:r>
      <w:r>
        <w:rPr>
          <w:rFonts w:hint="eastAsia" w:ascii="仿宋" w:hAnsi="仿宋" w:eastAsia="仿宋" w:cs="仿宋"/>
          <w:b w:val="0"/>
          <w:bCs/>
          <w:color w:val="auto"/>
          <w:sz w:val="28"/>
          <w:szCs w:val="28"/>
        </w:rPr>
        <w:t>严格执行教育部要求，开齐、开足、开好公共文化基础课。以“思政课程化、课程思政化”为重点，注重心理健康教育，专业课融合德育教育，全面提升学生的品德和素质。</w:t>
      </w:r>
    </w:p>
    <w:p>
      <w:pPr>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3.2.2 开展复合型人才培养模式改革，进行1+X证书制度试点</w:t>
      </w:r>
    </w:p>
    <w:p>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2019年我校积极参与1+X证书制度试点申报工作，目前是全国首批1+X证书制度试点院校。也是广西唯一所同时获得“汽车运用与维修”和“智能新能源”汽车两个技能等级证书试点学校。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3.2.</w:t>
      </w:r>
      <w:r>
        <w:rPr>
          <w:rFonts w:hint="eastAsia" w:ascii="仿宋" w:hAnsi="仿宋" w:eastAsia="仿宋" w:cs="仿宋"/>
          <w:b/>
          <w:bCs/>
          <w:color w:val="auto"/>
          <w:sz w:val="28"/>
          <w:szCs w:val="28"/>
          <w:lang w:val="en-US" w:eastAsia="zh-CN"/>
        </w:rPr>
        <w:t>3 优化师资队伍结构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一是</w:t>
      </w:r>
      <w:r>
        <w:rPr>
          <w:rFonts w:hint="default" w:ascii="仿宋" w:hAnsi="仿宋" w:eastAsia="仿宋" w:cs="仿宋"/>
          <w:b w:val="0"/>
          <w:bCs w:val="0"/>
          <w:color w:val="auto"/>
          <w:sz w:val="28"/>
          <w:szCs w:val="28"/>
          <w:lang w:val="en-US" w:eastAsia="zh-CN"/>
        </w:rPr>
        <w:t>加大教师补充力度。2019年我校面向社会公开考试招聘实名制教师共2名；成功引进我校合同制工作人员谢越峰（全国技术能手、柳州市D类人才）为在编人员，目前入编手续正在市委编办审核中；通过柳州市人才网发布招聘信息共计6次，参加高校应届毕业生招聘会5次，校内开展面试10多次，新签订劳动合同25人；制定《柳州市交通学校编外聘用人员纳入学校聘用人员控制数管理工作方案》并组织实施招聘工作</w:t>
      </w:r>
      <w:r>
        <w:rPr>
          <w:rFonts w:hint="eastAsia" w:ascii="仿宋" w:hAnsi="仿宋" w:eastAsia="仿宋" w:cs="仿宋"/>
          <w:b w:val="0"/>
          <w:bCs w:val="0"/>
          <w:color w:val="auto"/>
          <w:sz w:val="28"/>
          <w:szCs w:val="28"/>
          <w:lang w:val="en-US" w:eastAsia="zh-CN"/>
        </w:rPr>
        <w:t>，</w:t>
      </w:r>
      <w:r>
        <w:rPr>
          <w:rFonts w:hint="default" w:ascii="仿宋" w:hAnsi="仿宋" w:eastAsia="仿宋" w:cs="仿宋"/>
          <w:b w:val="0"/>
          <w:bCs w:val="0"/>
          <w:color w:val="auto"/>
          <w:sz w:val="28"/>
          <w:szCs w:val="28"/>
          <w:lang w:val="en-US" w:eastAsia="zh-CN"/>
        </w:rPr>
        <w:t>共选拔出许坤利等15位优秀人才、紧缺专业人才。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2"/>
        <w:rPr>
          <w:rFonts w:hint="eastAsia" w:ascii="仿宋" w:hAnsi="仿宋" w:eastAsia="仿宋" w:cs="仿宋"/>
          <w:b/>
          <w:color w:val="auto"/>
          <w:sz w:val="28"/>
          <w:szCs w:val="28"/>
          <w:lang w:eastAsia="zh-CN"/>
        </w:rPr>
      </w:pPr>
      <w:r>
        <w:rPr>
          <w:rFonts w:hint="eastAsia" w:ascii="仿宋" w:hAnsi="仿宋" w:eastAsia="仿宋" w:cs="仿宋"/>
          <w:b/>
          <w:bCs/>
          <w:color w:val="auto"/>
          <w:sz w:val="28"/>
          <w:szCs w:val="28"/>
          <w:lang w:val="en-US" w:eastAsia="zh-CN"/>
        </w:rPr>
        <w:t xml:space="preserve">3.2.4 </w:t>
      </w:r>
      <w:r>
        <w:rPr>
          <w:rFonts w:hint="eastAsia" w:ascii="仿宋" w:hAnsi="仿宋" w:eastAsia="仿宋" w:cs="仿宋"/>
          <w:b/>
          <w:bCs/>
          <w:color w:val="auto"/>
          <w:sz w:val="28"/>
          <w:szCs w:val="28"/>
          <w:lang w:eastAsia="zh-CN"/>
        </w:rPr>
        <w:t>严把项目建设关，</w:t>
      </w:r>
      <w:r>
        <w:rPr>
          <w:rFonts w:hint="eastAsia" w:ascii="仿宋" w:hAnsi="仿宋" w:eastAsia="仿宋" w:cs="仿宋"/>
          <w:b/>
          <w:bCs/>
          <w:color w:val="auto"/>
          <w:sz w:val="28"/>
          <w:szCs w:val="28"/>
        </w:rPr>
        <w:t>实训基地</w:t>
      </w:r>
      <w:r>
        <w:rPr>
          <w:rFonts w:hint="eastAsia" w:ascii="仿宋" w:hAnsi="仿宋" w:eastAsia="仿宋" w:cs="仿宋"/>
          <w:b/>
          <w:color w:val="auto"/>
          <w:sz w:val="28"/>
          <w:szCs w:val="28"/>
        </w:rPr>
        <w:t>取得新突破</w:t>
      </w:r>
      <w:r>
        <w:rPr>
          <w:rFonts w:hint="eastAsia" w:ascii="仿宋" w:hAnsi="仿宋" w:eastAsia="仿宋" w:cs="仿宋"/>
          <w:b/>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 w:hAnsi="仿宋" w:eastAsia="仿宋" w:cs="仿宋"/>
          <w:b/>
          <w:bCs/>
          <w:color w:val="00B050"/>
          <w:sz w:val="28"/>
          <w:szCs w:val="28"/>
        </w:rPr>
      </w:pPr>
      <w:r>
        <w:rPr>
          <w:rFonts w:hint="eastAsia" w:ascii="仿宋" w:hAnsi="仿宋" w:eastAsia="仿宋" w:cs="仿宋"/>
          <w:bCs/>
          <w:color w:val="auto"/>
          <w:sz w:val="28"/>
          <w:szCs w:val="28"/>
        </w:rPr>
        <w:t>完成区市8个学校建设项目，资金预算1266万元。其中：自治区中等职业学校办学条件达标建设项目共4项，资金预算共600万元。市本级财政投资建设项目4项，资金预算共666万元</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截止2019年底8个项目均已完成项目建设。通过实训基地建设，进一步改善学校实训教学条件，为新专业建设及实训课教学提供了有力支持。</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3.3  教师培养培训</w:t>
      </w:r>
    </w:p>
    <w:p>
      <w:pPr>
        <w:pStyle w:val="3"/>
        <w:pageBreakBefore w:val="0"/>
        <w:kinsoku/>
        <w:wordWrap/>
        <w:overflowPunct/>
        <w:topLinePunct w:val="0"/>
        <w:autoSpaceDE/>
        <w:autoSpaceDN/>
        <w:bidi w:val="0"/>
        <w:spacing w:before="0" w:beforeAutospacing="0" w:after="0" w:line="480" w:lineRule="exact"/>
        <w:ind w:firstLine="560" w:firstLineChars="200"/>
        <w:textAlignment w:val="auto"/>
        <w:outlineLvl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开展2018-2019学年下学期教师“师徒结对”活动，19对师徒结对并在师徒协议书上签字。进行新晋教师培训及新晋教师公开课活动，共有174教师参与了听、评课活动。组织19名教师申报初级、中级双师认定，其中7名教师通过初级双师认定，5名教师通过中级双师认定。积极组织教师参加各级各类培训，据不完全统计，组织选派了242人次参加国家级、自治区级、市级各类培训、学习，其中国家级160人次（包括远程培训130人次）、自治区级24人次、市级58人次。开展了学校教师教学基本功比赛暨市赛选拔赛，评出一等奖2个、二等奖4个、三等奖6个。开展期末全员学习培训活动周，通过总结学校工作、分享交流教学教研学生管理工作经验、专家讲座、业务诊断等内容形式，推动教职工综合素质和能力的全面提升，促进学校改革发展。</w:t>
      </w:r>
    </w:p>
    <w:p>
      <w:pPr>
        <w:pStyle w:val="5"/>
        <w:pageBreakBefore w:val="0"/>
        <w:kinsoku/>
        <w:wordWrap/>
        <w:overflowPunct/>
        <w:topLinePunct w:val="0"/>
        <w:autoSpaceDE/>
        <w:autoSpaceDN/>
        <w:bidi w:val="0"/>
        <w:spacing w:before="0" w:after="0" w:line="4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3.4 </w:t>
      </w:r>
      <w:r>
        <w:rPr>
          <w:rFonts w:hint="eastAsia" w:ascii="仿宋" w:hAnsi="仿宋" w:eastAsia="仿宋" w:cs="仿宋"/>
          <w:color w:val="auto"/>
          <w:sz w:val="28"/>
          <w:szCs w:val="28"/>
        </w:rPr>
        <w:t>加强规范管理</w:t>
      </w:r>
    </w:p>
    <w:p>
      <w:pPr>
        <w:pageBreakBefore w:val="0"/>
        <w:widowControl/>
        <w:shd w:val="clear" w:color="auto" w:fill="FFFFFF"/>
        <w:kinsoku/>
        <w:wordWrap/>
        <w:overflowPunct/>
        <w:topLinePunct w:val="0"/>
        <w:autoSpaceDE/>
        <w:autoSpaceDN/>
        <w:bidi w:val="0"/>
        <w:spacing w:line="480" w:lineRule="exact"/>
        <w:ind w:firstLine="562"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3.4.1 完善制度建设。</w:t>
      </w:r>
      <w:r>
        <w:rPr>
          <w:rFonts w:hint="eastAsia" w:ascii="仿宋" w:hAnsi="仿宋" w:eastAsia="仿宋" w:cs="仿宋"/>
          <w:color w:val="auto"/>
          <w:kern w:val="2"/>
          <w:sz w:val="28"/>
          <w:szCs w:val="28"/>
          <w:lang w:val="en-US" w:eastAsia="zh-CN" w:bidi="ar-SA"/>
        </w:rPr>
        <w:t>制定并实施《柳州市交通学校2019年度部门绩效考评方案》，开展部门绩效考评工作,加强学校各部门的责任落实及评价。完成《柳州市交通学校教职工进修培训学习管理暂行办法(修订)》在内的29个教学管理制度的修订及制定工作。完成《柳州市交通学校外聘教师管理办法（试行）》等在内的3个人事管理制度修订及制定工作；完成《柳州市交通学校编外聘用人员纳入学校聘用人员控制数管理工作方案》在内的4个人才聘用方案与办法制定；完成《柳州市交通学校入职标准》在内的9个师资建设标准与办法的制定与修订。完成《柳州市交通学校质量事故预警制度》等在内的5个视导监督管理制度修订和制定工作，以及《督查值日工作流程标准》在内的5个工作标准、流程的制定。完成《柳州市交通学校学生八种违纪行为“事不过三”教育活动方案》在内的8个学生管理制度修订和制定工作。进一步完善学校内部控制，制定《柳州市交通学校教学建设项目入库流程》，修订《柳州市交通学校固定资产管理办法》等；申报事业单位内控系统，从人控逐步变成机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2"/>
        <w:rPr>
          <w:rFonts w:hint="eastAsia" w:ascii="仿宋" w:hAnsi="仿宋" w:eastAsia="仿宋" w:cs="仿宋"/>
          <w:color w:val="auto"/>
          <w:kern w:val="2"/>
          <w:sz w:val="28"/>
          <w:szCs w:val="28"/>
          <w:lang w:val="en-US" w:eastAsia="zh-CN" w:bidi="ar-SA"/>
        </w:rPr>
      </w:pPr>
      <w:r>
        <w:rPr>
          <w:rFonts w:hint="eastAsia" w:ascii="仿宋" w:hAnsi="仿宋" w:eastAsia="仿宋"/>
          <w:b/>
          <w:bCs/>
          <w:sz w:val="28"/>
          <w:szCs w:val="28"/>
          <w:lang w:val="en-US" w:eastAsia="zh-CN"/>
        </w:rPr>
        <w:t>3.4.2</w:t>
      </w:r>
      <w:r>
        <w:rPr>
          <w:rFonts w:hint="eastAsia" w:ascii="仿宋" w:hAnsi="仿宋" w:eastAsia="仿宋"/>
          <w:b/>
          <w:bCs/>
          <w:sz w:val="28"/>
          <w:szCs w:val="28"/>
        </w:rPr>
        <w:t>稳步推进</w:t>
      </w:r>
      <w:r>
        <w:rPr>
          <w:rFonts w:hint="eastAsia" w:ascii="仿宋" w:hAnsi="仿宋" w:eastAsia="仿宋"/>
          <w:b/>
          <w:bCs/>
          <w:sz w:val="28"/>
          <w:szCs w:val="28"/>
          <w:lang w:eastAsia="zh-CN"/>
        </w:rPr>
        <w:t>教学</w:t>
      </w:r>
      <w:r>
        <w:rPr>
          <w:rFonts w:hint="eastAsia" w:ascii="仿宋" w:hAnsi="仿宋" w:eastAsia="仿宋"/>
          <w:b/>
          <w:bCs/>
          <w:sz w:val="28"/>
          <w:szCs w:val="28"/>
        </w:rPr>
        <w:t>诊断与改进。</w:t>
      </w:r>
      <w:r>
        <w:rPr>
          <w:rFonts w:hint="eastAsia" w:ascii="仿宋" w:hAnsi="仿宋" w:eastAsia="仿宋"/>
          <w:sz w:val="28"/>
          <w:szCs w:val="28"/>
        </w:rPr>
        <w:t>在校长和学校主管领导亲力部署、大力指导和有力支持下，</w:t>
      </w:r>
      <w:r>
        <w:rPr>
          <w:rFonts w:hint="eastAsia" w:ascii="仿宋" w:hAnsi="仿宋" w:eastAsia="仿宋"/>
          <w:sz w:val="28"/>
          <w:szCs w:val="28"/>
          <w:lang w:eastAsia="zh-CN"/>
        </w:rPr>
        <w:t>全面推进教学诊断与改进工作，通过全员教学诊改宣传与培训，切实做到“人人诊改、事事诊改、时时诊改”工作效益及质量不断提高。</w:t>
      </w:r>
      <w:r>
        <w:rPr>
          <w:rFonts w:hint="eastAsia" w:ascii="仿宋" w:hAnsi="仿宋" w:eastAsia="仿宋"/>
          <w:sz w:val="28"/>
          <w:szCs w:val="28"/>
        </w:rPr>
        <w:t>全</w:t>
      </w:r>
      <w:r>
        <w:rPr>
          <w:rFonts w:hint="eastAsia" w:ascii="仿宋" w:hAnsi="仿宋" w:eastAsia="仿宋"/>
          <w:sz w:val="28"/>
          <w:szCs w:val="28"/>
          <w:lang w:eastAsia="zh-CN"/>
        </w:rPr>
        <w:t>体师生的</w:t>
      </w:r>
      <w:r>
        <w:rPr>
          <w:rFonts w:hint="eastAsia" w:ascii="仿宋" w:hAnsi="仿宋" w:eastAsia="仿宋"/>
          <w:sz w:val="28"/>
          <w:szCs w:val="28"/>
        </w:rPr>
        <w:t>共同努力</w:t>
      </w:r>
      <w:r>
        <w:rPr>
          <w:rFonts w:hint="eastAsia" w:ascii="仿宋" w:hAnsi="仿宋" w:eastAsia="仿宋"/>
          <w:sz w:val="28"/>
          <w:szCs w:val="28"/>
          <w:lang w:eastAsia="zh-CN"/>
        </w:rPr>
        <w:t>下</w:t>
      </w:r>
      <w:r>
        <w:rPr>
          <w:rFonts w:hint="eastAsia" w:ascii="仿宋" w:hAnsi="仿宋" w:eastAsia="仿宋"/>
          <w:sz w:val="28"/>
          <w:szCs w:val="28"/>
        </w:rPr>
        <w:t>，</w:t>
      </w:r>
      <w:r>
        <w:rPr>
          <w:rFonts w:hint="default" w:ascii="仿宋" w:hAnsi="仿宋" w:eastAsia="仿宋"/>
          <w:sz w:val="28"/>
          <w:szCs w:val="28"/>
        </w:rPr>
        <w:t>顺利完成</w:t>
      </w:r>
      <w:r>
        <w:rPr>
          <w:rFonts w:hint="eastAsia" w:ascii="仿宋" w:hAnsi="仿宋" w:eastAsia="仿宋"/>
          <w:sz w:val="28"/>
          <w:szCs w:val="28"/>
          <w:lang w:eastAsia="zh-CN"/>
        </w:rPr>
        <w:t>2019年12月3-</w:t>
      </w:r>
      <w:r>
        <w:rPr>
          <w:rFonts w:hint="default" w:ascii="仿宋" w:hAnsi="仿宋" w:eastAsia="仿宋"/>
          <w:sz w:val="28"/>
          <w:szCs w:val="28"/>
          <w:lang w:eastAsia="zh-CN"/>
        </w:rPr>
        <w:t>4日</w:t>
      </w:r>
      <w:r>
        <w:rPr>
          <w:rFonts w:hint="eastAsia" w:ascii="仿宋" w:hAnsi="仿宋" w:eastAsia="仿宋"/>
          <w:sz w:val="28"/>
          <w:szCs w:val="28"/>
          <w:lang w:eastAsia="zh-CN"/>
        </w:rPr>
        <w:t>自治区教学诊改委受教育厅委托对我校进行</w:t>
      </w:r>
      <w:r>
        <w:rPr>
          <w:rFonts w:hint="default" w:ascii="仿宋" w:hAnsi="仿宋" w:eastAsia="仿宋"/>
          <w:sz w:val="28"/>
          <w:szCs w:val="28"/>
          <w:lang w:eastAsia="zh-CN"/>
        </w:rPr>
        <w:t>的</w:t>
      </w:r>
      <w:r>
        <w:rPr>
          <w:rFonts w:hint="eastAsia" w:ascii="仿宋" w:hAnsi="仿宋" w:eastAsia="仿宋"/>
          <w:sz w:val="28"/>
          <w:szCs w:val="28"/>
          <w:lang w:eastAsia="zh-CN"/>
        </w:rPr>
        <w:t>教学诊改现场复核，并被认定为“有效”。</w:t>
      </w:r>
    </w:p>
    <w:p>
      <w:pPr>
        <w:widowControl/>
        <w:overflowPunct w:val="0"/>
        <w:spacing w:line="480" w:lineRule="exact"/>
        <w:ind w:firstLine="562" w:firstLineChars="200"/>
        <w:outlineLvl w:val="2"/>
        <w:rPr>
          <w:rFonts w:ascii="仿宋" w:hAnsi="仿宋" w:eastAsia="仿宋" w:cs="仿宋"/>
          <w:color w:val="FF0000"/>
          <w:sz w:val="28"/>
          <w:szCs w:val="28"/>
        </w:rPr>
      </w:pPr>
      <w:r>
        <w:rPr>
          <w:rFonts w:hint="eastAsia" w:ascii="仿宋" w:hAnsi="仿宋" w:eastAsia="仿宋" w:cs="仿宋"/>
          <w:b/>
          <w:bCs/>
          <w:sz w:val="28"/>
          <w:szCs w:val="28"/>
          <w:lang w:val="en-US" w:eastAsia="zh-CN"/>
        </w:rPr>
        <w:t>3.4.3</w:t>
      </w:r>
      <w:r>
        <w:rPr>
          <w:rFonts w:hint="eastAsia" w:ascii="仿宋" w:hAnsi="仿宋" w:eastAsia="仿宋" w:cs="仿宋"/>
          <w:b/>
          <w:bCs/>
          <w:sz w:val="28"/>
          <w:szCs w:val="28"/>
        </w:rPr>
        <w:t>积极开展视导监督。</w:t>
      </w:r>
      <w:r>
        <w:rPr>
          <w:rFonts w:hint="eastAsia" w:ascii="仿宋" w:hAnsi="仿宋" w:eastAsia="仿宋" w:cs="仿宋"/>
          <w:sz w:val="28"/>
          <w:szCs w:val="28"/>
        </w:rPr>
        <w:t>日常</w:t>
      </w:r>
      <w:r>
        <w:rPr>
          <w:rFonts w:ascii="仿宋" w:hAnsi="仿宋" w:eastAsia="仿宋" w:cs="仿宋"/>
          <w:sz w:val="28"/>
          <w:szCs w:val="28"/>
        </w:rPr>
        <w:t>检查和督导</w:t>
      </w:r>
      <w:r>
        <w:rPr>
          <w:rFonts w:hint="eastAsia" w:ascii="仿宋" w:hAnsi="仿宋" w:eastAsia="仿宋" w:cs="仿宋"/>
          <w:sz w:val="28"/>
          <w:szCs w:val="28"/>
        </w:rPr>
        <w:t>形成</w:t>
      </w:r>
      <w:r>
        <w:rPr>
          <w:rFonts w:ascii="仿宋" w:hAnsi="仿宋" w:eastAsia="仿宋" w:cs="仿宋"/>
          <w:sz w:val="28"/>
          <w:szCs w:val="28"/>
        </w:rPr>
        <w:t>常态。</w:t>
      </w:r>
      <w:r>
        <w:rPr>
          <w:rFonts w:hint="eastAsia" w:ascii="仿宋" w:hAnsi="仿宋" w:eastAsia="仿宋" w:cs="仿宋"/>
          <w:sz w:val="28"/>
          <w:szCs w:val="28"/>
        </w:rPr>
        <w:t>一是以口头</w:t>
      </w:r>
      <w:r>
        <w:rPr>
          <w:rFonts w:ascii="仿宋" w:hAnsi="仿宋" w:eastAsia="仿宋" w:cs="仿宋"/>
          <w:sz w:val="28"/>
          <w:szCs w:val="28"/>
        </w:rPr>
        <w:t>提醒</w:t>
      </w:r>
      <w:r>
        <w:rPr>
          <w:rFonts w:hint="eastAsia" w:ascii="仿宋" w:hAnsi="仿宋" w:eastAsia="仿宋" w:cs="仿宋"/>
          <w:sz w:val="28"/>
          <w:szCs w:val="28"/>
        </w:rPr>
        <w:t>、</w:t>
      </w:r>
      <w:r>
        <w:rPr>
          <w:rFonts w:ascii="仿宋" w:hAnsi="仿宋" w:eastAsia="仿宋" w:cs="仿宋"/>
          <w:sz w:val="28"/>
          <w:szCs w:val="28"/>
        </w:rPr>
        <w:t>具体指导和</w:t>
      </w:r>
      <w:r>
        <w:rPr>
          <w:rFonts w:hint="eastAsia" w:ascii="仿宋" w:hAnsi="仿宋" w:eastAsia="仿宋" w:cs="仿宋"/>
          <w:sz w:val="28"/>
          <w:szCs w:val="28"/>
        </w:rPr>
        <w:t>下达“</w:t>
      </w:r>
      <w:r>
        <w:rPr>
          <w:rFonts w:ascii="仿宋" w:hAnsi="仿宋" w:eastAsia="仿宋" w:cs="仿宋"/>
          <w:sz w:val="28"/>
          <w:szCs w:val="28"/>
        </w:rPr>
        <w:t>整改通知书</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巡查</w:t>
      </w:r>
      <w:r>
        <w:rPr>
          <w:rFonts w:ascii="仿宋" w:hAnsi="仿宋" w:eastAsia="仿宋" w:cs="仿宋"/>
          <w:sz w:val="28"/>
          <w:szCs w:val="28"/>
        </w:rPr>
        <w:t>问题处理表》</w:t>
      </w:r>
      <w:r>
        <w:rPr>
          <w:rFonts w:hint="eastAsia" w:ascii="仿宋" w:hAnsi="仿宋" w:eastAsia="仿宋" w:cs="仿宋"/>
          <w:sz w:val="28"/>
          <w:szCs w:val="28"/>
        </w:rPr>
        <w:t>等方式进行视导，2019年以</w:t>
      </w:r>
      <w:r>
        <w:rPr>
          <w:rFonts w:ascii="仿宋" w:hAnsi="仿宋" w:eastAsia="仿宋" w:cs="仿宋"/>
          <w:sz w:val="28"/>
          <w:szCs w:val="28"/>
        </w:rPr>
        <w:t>书面形式先后</w:t>
      </w:r>
      <w:r>
        <w:rPr>
          <w:rFonts w:hint="eastAsia" w:ascii="仿宋" w:hAnsi="仿宋" w:eastAsia="仿宋" w:cs="仿宋"/>
          <w:sz w:val="28"/>
          <w:szCs w:val="28"/>
        </w:rPr>
        <w:t>督查</w:t>
      </w:r>
      <w:r>
        <w:rPr>
          <w:rFonts w:ascii="仿宋" w:hAnsi="仿宋" w:eastAsia="仿宋" w:cs="仿宋"/>
          <w:sz w:val="28"/>
          <w:szCs w:val="28"/>
        </w:rPr>
        <w:t>督办</w:t>
      </w:r>
      <w:r>
        <w:rPr>
          <w:rFonts w:hint="eastAsia" w:ascii="仿宋" w:hAnsi="仿宋" w:eastAsia="仿宋" w:cs="仿宋"/>
          <w:sz w:val="28"/>
          <w:szCs w:val="28"/>
        </w:rPr>
        <w:t>的事项40余</w:t>
      </w:r>
      <w:r>
        <w:rPr>
          <w:rFonts w:ascii="仿宋" w:hAnsi="仿宋" w:eastAsia="仿宋" w:cs="仿宋"/>
          <w:sz w:val="28"/>
          <w:szCs w:val="28"/>
        </w:rPr>
        <w:t>项，整改</w:t>
      </w:r>
      <w:r>
        <w:rPr>
          <w:rFonts w:hint="eastAsia" w:ascii="仿宋" w:hAnsi="仿宋" w:eastAsia="仿宋" w:cs="仿宋"/>
          <w:sz w:val="28"/>
          <w:szCs w:val="28"/>
        </w:rPr>
        <w:t>完成</w:t>
      </w:r>
      <w:r>
        <w:rPr>
          <w:rFonts w:ascii="仿宋" w:hAnsi="仿宋" w:eastAsia="仿宋" w:cs="仿宋"/>
          <w:sz w:val="28"/>
          <w:szCs w:val="28"/>
        </w:rPr>
        <w:t>率达</w:t>
      </w:r>
      <w:r>
        <w:rPr>
          <w:rFonts w:hint="eastAsia" w:ascii="仿宋" w:hAnsi="仿宋" w:eastAsia="仿宋" w:cs="仿宋"/>
          <w:sz w:val="28"/>
          <w:szCs w:val="28"/>
        </w:rPr>
        <w:t>100</w:t>
      </w:r>
      <w:r>
        <w:rPr>
          <w:rFonts w:ascii="仿宋" w:hAnsi="仿宋" w:eastAsia="仿宋" w:cs="仿宋"/>
          <w:sz w:val="28"/>
          <w:szCs w:val="28"/>
        </w:rPr>
        <w:t>%</w:t>
      </w:r>
      <w:r>
        <w:rPr>
          <w:rFonts w:hint="eastAsia" w:ascii="仿宋" w:hAnsi="仿宋" w:eastAsia="仿宋" w:cs="仿宋"/>
          <w:sz w:val="28"/>
          <w:szCs w:val="28"/>
        </w:rPr>
        <w:t>，整改</w:t>
      </w:r>
      <w:r>
        <w:rPr>
          <w:rFonts w:ascii="仿宋" w:hAnsi="仿宋" w:eastAsia="仿宋" w:cs="仿宋"/>
          <w:sz w:val="28"/>
          <w:szCs w:val="28"/>
        </w:rPr>
        <w:t>事项涉及教学、</w:t>
      </w:r>
      <w:r>
        <w:rPr>
          <w:rFonts w:hint="eastAsia" w:ascii="仿宋" w:hAnsi="仿宋" w:eastAsia="仿宋" w:cs="仿宋"/>
          <w:sz w:val="28"/>
          <w:szCs w:val="28"/>
        </w:rPr>
        <w:t>学生</w:t>
      </w:r>
      <w:r>
        <w:rPr>
          <w:rFonts w:ascii="仿宋" w:hAnsi="仿宋" w:eastAsia="仿宋" w:cs="仿宋"/>
          <w:sz w:val="28"/>
          <w:szCs w:val="28"/>
        </w:rPr>
        <w:t>、行政</w:t>
      </w:r>
      <w:r>
        <w:rPr>
          <w:rFonts w:hint="eastAsia" w:ascii="仿宋" w:hAnsi="仿宋" w:eastAsia="仿宋" w:cs="仿宋"/>
          <w:sz w:val="28"/>
          <w:szCs w:val="28"/>
        </w:rPr>
        <w:t>、</w:t>
      </w:r>
      <w:r>
        <w:rPr>
          <w:rFonts w:ascii="仿宋" w:hAnsi="仿宋" w:eastAsia="仿宋" w:cs="仿宋"/>
          <w:sz w:val="28"/>
          <w:szCs w:val="28"/>
        </w:rPr>
        <w:t>后勤</w:t>
      </w:r>
      <w:r>
        <w:rPr>
          <w:rFonts w:hint="eastAsia" w:ascii="仿宋" w:hAnsi="仿宋" w:eastAsia="仿宋" w:cs="仿宋"/>
          <w:sz w:val="28"/>
          <w:szCs w:val="28"/>
        </w:rPr>
        <w:t>、</w:t>
      </w:r>
      <w:r>
        <w:rPr>
          <w:rFonts w:ascii="仿宋" w:hAnsi="仿宋" w:eastAsia="仿宋" w:cs="仿宋"/>
          <w:sz w:val="28"/>
          <w:szCs w:val="28"/>
        </w:rPr>
        <w:t>劳动纪律</w:t>
      </w:r>
      <w:r>
        <w:rPr>
          <w:rFonts w:hint="eastAsia" w:ascii="仿宋" w:hAnsi="仿宋" w:eastAsia="仿宋" w:cs="仿宋"/>
          <w:sz w:val="28"/>
          <w:szCs w:val="28"/>
        </w:rPr>
        <w:t>等</w:t>
      </w:r>
      <w:r>
        <w:rPr>
          <w:rFonts w:ascii="仿宋" w:hAnsi="仿宋" w:eastAsia="仿宋" w:cs="仿宋"/>
          <w:sz w:val="28"/>
          <w:szCs w:val="28"/>
        </w:rPr>
        <w:t>各方面。</w:t>
      </w:r>
      <w:r>
        <w:rPr>
          <w:rFonts w:hint="eastAsia" w:ascii="仿宋" w:hAnsi="仿宋" w:eastAsia="仿宋" w:cs="仿宋"/>
          <w:sz w:val="28"/>
          <w:szCs w:val="28"/>
        </w:rPr>
        <w:t>二是组织</w:t>
      </w:r>
      <w:r>
        <w:rPr>
          <w:rFonts w:ascii="仿宋" w:hAnsi="仿宋" w:eastAsia="仿宋" w:cs="仿宋"/>
          <w:sz w:val="28"/>
          <w:szCs w:val="28"/>
        </w:rPr>
        <w:t>落实</w:t>
      </w:r>
      <w:r>
        <w:rPr>
          <w:rFonts w:hint="eastAsia" w:ascii="仿宋" w:hAnsi="仿宋" w:eastAsia="仿宋" w:cs="仿宋"/>
          <w:sz w:val="28"/>
          <w:szCs w:val="28"/>
        </w:rPr>
        <w:t>“红</w:t>
      </w:r>
      <w:r>
        <w:rPr>
          <w:rFonts w:ascii="仿宋" w:hAnsi="仿宋" w:eastAsia="仿宋" w:cs="仿宋"/>
          <w:sz w:val="28"/>
          <w:szCs w:val="28"/>
        </w:rPr>
        <w:t>黑榜</w:t>
      </w:r>
      <w:r>
        <w:rPr>
          <w:rFonts w:hint="eastAsia" w:ascii="仿宋" w:hAnsi="仿宋" w:eastAsia="仿宋" w:cs="仿宋"/>
          <w:sz w:val="28"/>
          <w:szCs w:val="28"/>
        </w:rPr>
        <w:t>”和</w:t>
      </w:r>
      <w:r>
        <w:rPr>
          <w:rFonts w:ascii="仿宋" w:hAnsi="仿宋" w:eastAsia="仿宋" w:cs="仿宋"/>
          <w:sz w:val="28"/>
          <w:szCs w:val="28"/>
        </w:rPr>
        <w:t>事故认定</w:t>
      </w:r>
      <w:r>
        <w:rPr>
          <w:rFonts w:hint="eastAsia" w:ascii="仿宋" w:hAnsi="仿宋" w:eastAsia="仿宋" w:cs="仿宋"/>
          <w:sz w:val="28"/>
          <w:szCs w:val="28"/>
        </w:rPr>
        <w:t>及</w:t>
      </w:r>
      <w:r>
        <w:rPr>
          <w:rFonts w:ascii="仿宋" w:hAnsi="仿宋" w:eastAsia="仿宋" w:cs="仿宋"/>
          <w:sz w:val="28"/>
          <w:szCs w:val="28"/>
        </w:rPr>
        <w:t>处理办法</w:t>
      </w:r>
      <w:r>
        <w:rPr>
          <w:rFonts w:hint="eastAsia" w:ascii="仿宋" w:hAnsi="仿宋" w:eastAsia="仿宋" w:cs="仿宋"/>
          <w:sz w:val="28"/>
          <w:szCs w:val="28"/>
        </w:rPr>
        <w:t>等制度，2019年度班级</w:t>
      </w:r>
      <w:r>
        <w:rPr>
          <w:rFonts w:ascii="仿宋" w:hAnsi="仿宋" w:eastAsia="仿宋" w:cs="仿宋"/>
          <w:sz w:val="28"/>
          <w:szCs w:val="28"/>
        </w:rPr>
        <w:t>上红榜</w:t>
      </w:r>
      <w:r>
        <w:rPr>
          <w:rFonts w:hint="eastAsia" w:ascii="仿宋" w:hAnsi="仿宋" w:eastAsia="仿宋" w:cs="仿宋"/>
          <w:sz w:val="28"/>
          <w:szCs w:val="28"/>
        </w:rPr>
        <w:t>564班次</w:t>
      </w:r>
      <w:r>
        <w:rPr>
          <w:rFonts w:ascii="仿宋" w:hAnsi="仿宋" w:eastAsia="仿宋" w:cs="仿宋"/>
          <w:sz w:val="28"/>
          <w:szCs w:val="28"/>
        </w:rPr>
        <w:t>、黑榜</w:t>
      </w:r>
      <w:r>
        <w:rPr>
          <w:rFonts w:hint="eastAsia" w:ascii="仿宋" w:hAnsi="仿宋" w:eastAsia="仿宋" w:cs="仿宋"/>
          <w:sz w:val="28"/>
          <w:szCs w:val="28"/>
        </w:rPr>
        <w:t>3</w:t>
      </w:r>
      <w:r>
        <w:rPr>
          <w:rFonts w:ascii="仿宋" w:hAnsi="仿宋" w:eastAsia="仿宋" w:cs="仿宋"/>
          <w:sz w:val="28"/>
          <w:szCs w:val="28"/>
        </w:rPr>
        <w:t>班次；</w:t>
      </w:r>
      <w:r>
        <w:rPr>
          <w:rFonts w:hint="eastAsia" w:ascii="仿宋" w:hAnsi="仿宋" w:eastAsia="仿宋" w:cs="仿宋"/>
          <w:sz w:val="28"/>
          <w:szCs w:val="28"/>
        </w:rPr>
        <w:t>宿舍上红榜972间</w:t>
      </w:r>
      <w:r>
        <w:rPr>
          <w:rFonts w:ascii="仿宋" w:hAnsi="仿宋" w:eastAsia="仿宋" w:cs="仿宋"/>
          <w:sz w:val="28"/>
          <w:szCs w:val="28"/>
        </w:rPr>
        <w:t>次</w:t>
      </w:r>
      <w:r>
        <w:rPr>
          <w:rFonts w:hint="eastAsia" w:ascii="仿宋" w:hAnsi="仿宋" w:eastAsia="仿宋" w:cs="仿宋"/>
          <w:sz w:val="28"/>
          <w:szCs w:val="28"/>
        </w:rPr>
        <w:t>、上黑榜109间</w:t>
      </w:r>
      <w:r>
        <w:rPr>
          <w:rFonts w:ascii="仿宋" w:hAnsi="仿宋" w:eastAsia="仿宋" w:cs="仿宋"/>
          <w:sz w:val="28"/>
          <w:szCs w:val="28"/>
        </w:rPr>
        <w:t>次；</w:t>
      </w:r>
      <w:r>
        <w:rPr>
          <w:rFonts w:hint="eastAsia" w:ascii="仿宋" w:hAnsi="仿宋" w:eastAsia="仿宋" w:cs="仿宋"/>
          <w:sz w:val="28"/>
          <w:szCs w:val="28"/>
        </w:rPr>
        <w:t>涉及</w:t>
      </w:r>
      <w:r>
        <w:rPr>
          <w:rFonts w:ascii="仿宋" w:hAnsi="仿宋" w:eastAsia="仿宋" w:cs="仿宋"/>
          <w:sz w:val="28"/>
          <w:szCs w:val="28"/>
        </w:rPr>
        <w:t>教职工失职和事故处理共</w:t>
      </w:r>
      <w:r>
        <w:rPr>
          <w:rFonts w:hint="eastAsia" w:ascii="仿宋" w:hAnsi="仿宋" w:eastAsia="仿宋" w:cs="仿宋"/>
          <w:sz w:val="28"/>
          <w:szCs w:val="28"/>
        </w:rPr>
        <w:t>5人</w:t>
      </w:r>
      <w:r>
        <w:rPr>
          <w:rFonts w:ascii="仿宋" w:hAnsi="仿宋" w:eastAsia="仿宋" w:cs="仿宋"/>
          <w:sz w:val="28"/>
          <w:szCs w:val="28"/>
        </w:rPr>
        <w:t>。</w:t>
      </w:r>
      <w:r>
        <w:rPr>
          <w:rFonts w:hint="eastAsia" w:ascii="仿宋" w:hAnsi="仿宋" w:eastAsia="仿宋" w:cs="仿宋"/>
          <w:sz w:val="28"/>
          <w:szCs w:val="28"/>
        </w:rPr>
        <w:t>三是坚持督促整改“不过夜”。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2"/>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kern w:val="2"/>
          <w:sz w:val="28"/>
          <w:szCs w:val="28"/>
          <w:lang w:val="en-US" w:eastAsia="zh-CN" w:bidi="ar-SA"/>
        </w:rPr>
        <w:t xml:space="preserve">3.4.4 </w:t>
      </w:r>
      <w:r>
        <w:rPr>
          <w:rFonts w:hint="eastAsia" w:ascii="仿宋" w:hAnsi="仿宋" w:eastAsia="仿宋" w:cs="仿宋"/>
          <w:b/>
          <w:bCs/>
          <w:color w:val="auto"/>
          <w:sz w:val="28"/>
          <w:szCs w:val="28"/>
          <w:lang w:val="en-US" w:eastAsia="zh-CN"/>
        </w:rPr>
        <w:t>管理工作信息化水平不断提高。</w:t>
      </w:r>
      <w:r>
        <w:rPr>
          <w:rFonts w:hint="eastAsia" w:ascii="仿宋" w:hAnsi="仿宋" w:eastAsia="仿宋" w:cs="仿宋"/>
          <w:b w:val="0"/>
          <w:bCs w:val="0"/>
          <w:color w:val="auto"/>
          <w:sz w:val="28"/>
          <w:szCs w:val="28"/>
          <w:lang w:val="en-US" w:eastAsia="zh-CN"/>
        </w:rPr>
        <w:t>为提高行政效率，推进无纸化办公，2019年学校启用钉钉信息化管理平台，实现了大部分审批通过移动网络进行处理，极大的提升了办公效率和数据收集能力。投入资金建设了信息化管理平台建设，实现了教务、学生管理、诊改工作的信息化管理，有效的提升学校的办学质量和工作效率，并对学校在教学诊改工作所涉及的数据进行收集和分析，对学校的质量管控起到良好的保障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outlineLvl w:val="2"/>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3.4.3 招投标项管理和实施不断规范</w:t>
      </w:r>
      <w:r>
        <w:rPr>
          <w:rFonts w:hint="eastAsia" w:ascii="仿宋" w:hAnsi="仿宋" w:eastAsia="仿宋" w:cs="仿宋"/>
          <w:b w:val="0"/>
          <w:bCs w:val="0"/>
          <w:color w:val="auto"/>
          <w:sz w:val="28"/>
          <w:szCs w:val="28"/>
          <w:lang w:val="en-US" w:eastAsia="zh-CN"/>
        </w:rPr>
        <w:t>。成立学校项目评审专家库，通过市场走访、兄弟院校调研方式确定将政府采购网中5家公司纳入学校招标代理公司库。按照新标准完成电梯实训中心、新能源实训中心、船舶二期等10个市财和区财共计1266万元的采购招标任务；完成学校食堂服务供应商、宿舍空调、学生床上用品、校服、2020年学校期刊供应商等的招标采购流程。</w:t>
      </w:r>
    </w:p>
    <w:p>
      <w:pPr>
        <w:pStyle w:val="5"/>
        <w:pageBreakBefore w:val="0"/>
        <w:kinsoku/>
        <w:wordWrap/>
        <w:overflowPunct/>
        <w:topLinePunct w:val="0"/>
        <w:autoSpaceDE/>
        <w:autoSpaceDN/>
        <w:bidi w:val="0"/>
        <w:spacing w:before="0" w:after="0" w:line="480" w:lineRule="exact"/>
        <w:ind w:firstLine="562"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 xml:space="preserve">3.5 </w:t>
      </w:r>
      <w:r>
        <w:rPr>
          <w:rFonts w:hint="eastAsia" w:ascii="仿宋" w:hAnsi="仿宋" w:eastAsia="仿宋" w:cs="仿宋"/>
          <w:color w:val="auto"/>
          <w:sz w:val="28"/>
          <w:szCs w:val="28"/>
          <w:shd w:val="clear" w:color="auto" w:fill="auto"/>
        </w:rPr>
        <w:t>强化德育工作</w:t>
      </w:r>
    </w:p>
    <w:p>
      <w:pPr>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color w:val="auto"/>
          <w:sz w:val="28"/>
          <w:szCs w:val="28"/>
          <w:shd w:val="clear" w:color="auto" w:fill="auto"/>
          <w:lang w:val="en-US" w:eastAsia="zh-CN"/>
        </w:rPr>
        <w:t>3.5.1</w:t>
      </w:r>
      <w:r>
        <w:rPr>
          <w:rFonts w:hint="eastAsia" w:ascii="仿宋" w:hAnsi="仿宋" w:eastAsia="仿宋" w:cs="仿宋"/>
          <w:b/>
          <w:color w:val="auto"/>
          <w:sz w:val="28"/>
          <w:szCs w:val="28"/>
          <w:shd w:val="clear" w:color="auto" w:fill="auto"/>
        </w:rPr>
        <w:t>德育教育优先，综合素质同育。</w:t>
      </w:r>
      <w:r>
        <w:rPr>
          <w:rFonts w:hint="eastAsia" w:ascii="仿宋" w:hAnsi="仿宋" w:eastAsia="仿宋" w:cs="仿宋"/>
          <w:b w:val="0"/>
          <w:bCs/>
          <w:color w:val="auto"/>
          <w:sz w:val="28"/>
          <w:szCs w:val="28"/>
          <w:shd w:val="clear" w:color="auto" w:fill="auto"/>
          <w:lang w:eastAsia="zh-CN"/>
        </w:rPr>
        <w:t>学校</w:t>
      </w:r>
      <w:r>
        <w:rPr>
          <w:rFonts w:hint="eastAsia" w:ascii="仿宋" w:hAnsi="仿宋" w:eastAsia="仿宋" w:cs="仿宋"/>
          <w:b w:val="0"/>
          <w:bCs/>
          <w:color w:val="auto"/>
          <w:sz w:val="28"/>
          <w:szCs w:val="28"/>
          <w:shd w:val="clear" w:color="auto" w:fill="auto"/>
        </w:rPr>
        <w:t>不断</w:t>
      </w:r>
      <w:r>
        <w:rPr>
          <w:rFonts w:hint="eastAsia" w:ascii="仿宋" w:hAnsi="仿宋" w:eastAsia="仿宋" w:cs="仿宋"/>
          <w:color w:val="auto"/>
          <w:sz w:val="28"/>
          <w:szCs w:val="28"/>
          <w:shd w:val="clear" w:color="auto" w:fill="auto"/>
        </w:rPr>
        <w:t>探索、创新德育工作新思路、</w:t>
      </w:r>
      <w:r>
        <w:rPr>
          <w:rFonts w:hint="eastAsia" w:ascii="仿宋" w:hAnsi="仿宋" w:eastAsia="仿宋" w:cs="仿宋"/>
          <w:color w:val="auto"/>
          <w:sz w:val="28"/>
          <w:szCs w:val="28"/>
        </w:rPr>
        <w:t>新方法，从实处入手、抓住关键、严格管理，成效显著。</w:t>
      </w:r>
      <w:r>
        <w:rPr>
          <w:rFonts w:hint="eastAsia" w:ascii="仿宋" w:hAnsi="仿宋" w:eastAsia="仿宋" w:cs="仿宋"/>
          <w:b w:val="0"/>
          <w:bCs w:val="0"/>
          <w:color w:val="auto"/>
          <w:sz w:val="28"/>
          <w:szCs w:val="28"/>
          <w:lang w:eastAsia="zh-CN"/>
        </w:rPr>
        <w:t>一是打造星际质量文化，依托学校“红黑榜”制度，围绕“星级学生”、“星级宿舍”、“星级班级”等管理实施方案，进行“星级”评选活动，形成德育激励机制。</w:t>
      </w:r>
      <w:r>
        <w:rPr>
          <w:rFonts w:hint="default" w:ascii="仿宋" w:hAnsi="仿宋" w:eastAsia="仿宋" w:cs="仿宋"/>
          <w:b w:val="0"/>
          <w:bCs w:val="0"/>
          <w:color w:val="auto"/>
          <w:sz w:val="28"/>
          <w:szCs w:val="28"/>
          <w:lang w:eastAsia="zh-CN"/>
        </w:rPr>
        <w:t>二</w:t>
      </w:r>
      <w:r>
        <w:rPr>
          <w:rFonts w:hint="eastAsia" w:ascii="仿宋" w:hAnsi="仿宋" w:eastAsia="仿宋" w:cs="仿宋"/>
          <w:b w:val="0"/>
          <w:bCs w:val="0"/>
          <w:color w:val="auto"/>
          <w:sz w:val="28"/>
          <w:szCs w:val="28"/>
          <w:lang w:eastAsia="zh-CN"/>
        </w:rPr>
        <w:t>是持续开展团日活动、每月一歌评比、志愿者服务等常规活动，组织学生参加植树活动、315义务维修社会车辆活动、青年参加祭扫活动等主题活动对学生德育进行渗透。</w:t>
      </w:r>
      <w:r>
        <w:rPr>
          <w:rFonts w:hint="default" w:ascii="仿宋" w:hAnsi="仿宋" w:eastAsia="仿宋" w:cs="仿宋"/>
          <w:b w:val="0"/>
          <w:bCs w:val="0"/>
          <w:color w:val="auto"/>
          <w:sz w:val="28"/>
          <w:szCs w:val="28"/>
          <w:lang w:eastAsia="zh-CN"/>
        </w:rPr>
        <w:t>三</w:t>
      </w:r>
      <w:r>
        <w:rPr>
          <w:rFonts w:hint="eastAsia" w:ascii="仿宋" w:hAnsi="仿宋" w:eastAsia="仿宋" w:cs="仿宋"/>
          <w:b w:val="0"/>
          <w:bCs w:val="0"/>
          <w:color w:val="auto"/>
          <w:sz w:val="28"/>
          <w:szCs w:val="28"/>
          <w:lang w:eastAsia="zh-CN"/>
        </w:rPr>
        <w:t>是严格落实《柳州市交通学校学生八种违纪行为“事不过三”教育活动方案》《学生行为“三大纪律”和“十条准则”学习实践活动方案》等，规范学生日常行为，进一步建立健全学校学生基础文明养成教育的长效机制。</w:t>
      </w:r>
      <w:r>
        <w:rPr>
          <w:rFonts w:hint="default" w:ascii="仿宋" w:hAnsi="仿宋" w:eastAsia="仿宋" w:cs="仿宋"/>
          <w:b w:val="0"/>
          <w:bCs w:val="0"/>
          <w:color w:val="auto"/>
          <w:sz w:val="28"/>
          <w:szCs w:val="28"/>
          <w:lang w:eastAsia="zh-CN"/>
        </w:rPr>
        <w:t>四</w:t>
      </w:r>
      <w:r>
        <w:rPr>
          <w:rFonts w:hint="eastAsia" w:ascii="仿宋" w:hAnsi="仿宋" w:eastAsia="仿宋" w:cs="仿宋"/>
          <w:b w:val="0"/>
          <w:bCs w:val="0"/>
          <w:color w:val="auto"/>
          <w:sz w:val="28"/>
          <w:szCs w:val="28"/>
          <w:lang w:eastAsia="zh-CN"/>
        </w:rPr>
        <w:t>是进一步完善家委会工作，利用学生家长到校参观和观看“五四”晚会等契机增进了解和互信，形成共育氛围</w:t>
      </w:r>
      <w:r>
        <w:rPr>
          <w:rFonts w:hint="default" w:ascii="仿宋" w:hAnsi="仿宋" w:eastAsia="仿宋" w:cs="仿宋"/>
          <w:b w:val="0"/>
          <w:bCs w:val="0"/>
          <w:color w:val="auto"/>
          <w:sz w:val="28"/>
          <w:szCs w:val="28"/>
          <w:lang w:eastAsia="zh-CN"/>
        </w:rPr>
        <w:t>。五</w:t>
      </w:r>
      <w:r>
        <w:rPr>
          <w:rFonts w:hint="eastAsia" w:ascii="仿宋" w:hAnsi="仿宋" w:eastAsia="仿宋" w:cs="仿宋"/>
          <w:b w:val="0"/>
          <w:bCs w:val="0"/>
          <w:color w:val="auto"/>
          <w:sz w:val="28"/>
          <w:szCs w:val="28"/>
          <w:lang w:eastAsia="zh-CN"/>
        </w:rPr>
        <w:t>是狠抓学生日常行为规范养成教育，通过抓迟到、抽烟等现象使迟到率和抽烟现象得到有效控制。五是加强课堂教学的德育渗透。</w:t>
      </w:r>
    </w:p>
    <w:p>
      <w:pPr>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3.5.2 把握新闻舆论宣传导向，筑牢德育宣传主战场</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根据学校各个时期开展的活动，及时做好宣传策划，</w:t>
      </w:r>
      <w:r>
        <w:rPr>
          <w:rFonts w:hint="eastAsia" w:ascii="仿宋" w:hAnsi="仿宋" w:eastAsia="仿宋"/>
          <w:sz w:val="28"/>
          <w:szCs w:val="28"/>
        </w:rPr>
        <w:t>提升宣传质量，传播正能量。充分利用学校网站、校内宣传专栏、LED屏及数字校园信息设备等宣传阵地，积极推送新闻稿件，</w:t>
      </w:r>
      <w:r>
        <w:rPr>
          <w:rFonts w:hint="eastAsia" w:ascii="仿宋" w:hAnsi="仿宋" w:eastAsia="仿宋" w:cs="仿宋"/>
          <w:color w:val="auto"/>
          <w:sz w:val="28"/>
          <w:szCs w:val="28"/>
        </w:rPr>
        <w:t>及时有效地把我校教育教学的新思路、新方法、新举措及师生风貌、大型活动展示给社会各界，树立了良好的外部形象，提升了学校在社会的认可度和知名度。</w:t>
      </w:r>
    </w:p>
    <w:p>
      <w:pPr>
        <w:spacing w:line="580" w:lineRule="exact"/>
        <w:jc w:val="center"/>
        <w:rPr>
          <w:rFonts w:hint="eastAsia" w:ascii="仿宋_GB2312" w:eastAsia="仿宋_GB2312"/>
          <w:b/>
          <w:bCs/>
          <w:sz w:val="32"/>
          <w:szCs w:val="32"/>
        </w:rPr>
      </w:pPr>
      <w:r>
        <w:rPr>
          <w:rFonts w:hint="eastAsia" w:ascii="仿宋_GB2312" w:eastAsia="仿宋_GB2312"/>
          <w:b/>
          <w:bCs/>
          <w:sz w:val="32"/>
          <w:szCs w:val="32"/>
          <w:lang w:eastAsia="zh-CN"/>
        </w:rPr>
        <w:t>表</w:t>
      </w:r>
      <w:r>
        <w:rPr>
          <w:rFonts w:hint="eastAsia" w:ascii="仿宋_GB2312" w:eastAsia="仿宋_GB2312"/>
          <w:b/>
          <w:bCs/>
          <w:sz w:val="32"/>
          <w:szCs w:val="32"/>
          <w:lang w:val="en-US" w:eastAsia="zh-CN"/>
        </w:rPr>
        <w:t xml:space="preserve">3-1  </w:t>
      </w:r>
      <w:r>
        <w:rPr>
          <w:rFonts w:hint="eastAsia" w:ascii="仿宋_GB2312" w:eastAsia="仿宋_GB2312"/>
          <w:b/>
          <w:bCs/>
          <w:sz w:val="32"/>
          <w:szCs w:val="32"/>
        </w:rPr>
        <w:t>2019年新闻稿件及信息统计表</w:t>
      </w:r>
    </w:p>
    <w:tbl>
      <w:tblPr>
        <w:tblStyle w:val="1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4187"/>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序号</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媒体或信息名称</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1</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八桂职教网</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2</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柳州教育博</w:t>
            </w:r>
            <w:r>
              <w:rPr>
                <w:rFonts w:hint="eastAsia" w:ascii="仿宋_GB2312" w:hAnsi="微软雅黑" w:eastAsia="仿宋_GB2312"/>
                <w:color w:val="191F25"/>
                <w:sz w:val="28"/>
                <w:szCs w:val="28"/>
                <w:shd w:val="clear" w:color="auto" w:fill="FFFFFF"/>
              </w:rPr>
              <w:t>客</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3</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学校官网</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4</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柳州晚报</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5</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南国今报</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6</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《新播报》</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7</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柳州</w:t>
            </w:r>
            <w:r>
              <w:rPr>
                <w:rFonts w:ascii="仿宋_GB2312" w:eastAsia="仿宋_GB2312"/>
                <w:sz w:val="28"/>
                <w:szCs w:val="28"/>
              </w:rPr>
              <w:t>1</w:t>
            </w:r>
            <w:r>
              <w:rPr>
                <w:rFonts w:hint="eastAsia" w:ascii="仿宋_GB2312" w:eastAsia="仿宋_GB2312"/>
                <w:sz w:val="28"/>
                <w:szCs w:val="28"/>
              </w:rPr>
              <w:t>号</w:t>
            </w:r>
            <w:r>
              <w:rPr>
                <w:rFonts w:ascii="仿宋_GB2312" w:eastAsia="仿宋_GB2312"/>
                <w:sz w:val="28"/>
                <w:szCs w:val="28"/>
              </w:rPr>
              <w:t>APP</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8</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在柳州</w:t>
            </w:r>
            <w:r>
              <w:rPr>
                <w:rFonts w:ascii="仿宋_GB2312" w:eastAsia="仿宋_GB2312"/>
                <w:sz w:val="28"/>
                <w:szCs w:val="28"/>
              </w:rPr>
              <w:t>APP</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9</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学校微信公众号</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10</w:t>
            </w: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每周交校要闻</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p>
        </w:tc>
        <w:tc>
          <w:tcPr>
            <w:tcW w:w="41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合计</w:t>
            </w:r>
          </w:p>
        </w:tc>
        <w:tc>
          <w:tcPr>
            <w:tcW w:w="29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28"/>
                <w:szCs w:val="28"/>
              </w:rPr>
            </w:pPr>
            <w:r>
              <w:rPr>
                <w:rFonts w:hint="eastAsia" w:ascii="仿宋_GB2312" w:eastAsia="仿宋_GB2312"/>
                <w:sz w:val="28"/>
                <w:szCs w:val="28"/>
              </w:rPr>
              <w:t>761</w:t>
            </w:r>
          </w:p>
        </w:tc>
      </w:tr>
    </w:tbl>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sz w:val="28"/>
          <w:szCs w:val="36"/>
        </w:rPr>
      </w:pPr>
    </w:p>
    <w:p>
      <w:pPr>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rPr>
        <w:t>3.6 加强党建工作</w:t>
      </w:r>
    </w:p>
    <w:p>
      <w:pPr>
        <w:pageBreakBefore w:val="0"/>
        <w:kinsoku/>
        <w:wordWrap/>
        <w:overflowPunct/>
        <w:topLinePunct w:val="0"/>
        <w:autoSpaceDE/>
        <w:autoSpaceDN/>
        <w:bidi w:val="0"/>
        <w:spacing w:line="480" w:lineRule="exact"/>
        <w:ind w:firstLine="562" w:firstLineChars="200"/>
        <w:textAlignment w:val="auto"/>
        <w:outlineLvl w:val="0"/>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3.6.1 抓好主题教育，守住初心使命。</w:t>
      </w:r>
      <w:r>
        <w:rPr>
          <w:rFonts w:hint="eastAsia" w:ascii="仿宋" w:hAnsi="仿宋" w:eastAsia="仿宋" w:cs="仿宋"/>
          <w:b w:val="0"/>
          <w:bCs w:val="0"/>
          <w:color w:val="auto"/>
          <w:sz w:val="28"/>
          <w:szCs w:val="36"/>
          <w:lang w:val="en-US" w:eastAsia="zh-CN"/>
        </w:rPr>
        <w:t xml:space="preserve">学校在开展“不忘初心、牢记使命”主题教育过程中，认真学习贯彻习近平新时代中国特色社会主义思想，坚持问题导向，以群众是否满意作为检验标准，边学边改。做到规定动作不缺项，自选动作有创新，落实“守初心、担使命，找差距、抓落实”总要求，达到了“理论学习有收获、思想政治受洗礼、干事创业敢担当、为民服务解难题、清正廉洁作表率”目标，取得了明显成效。 </w:t>
      </w:r>
    </w:p>
    <w:p>
      <w:pPr>
        <w:pageBreakBefore w:val="0"/>
        <w:kinsoku/>
        <w:wordWrap/>
        <w:overflowPunct/>
        <w:topLinePunct w:val="0"/>
        <w:autoSpaceDE/>
        <w:autoSpaceDN/>
        <w:bidi w:val="0"/>
        <w:spacing w:line="480" w:lineRule="exact"/>
        <w:ind w:firstLine="562" w:firstLineChars="200"/>
        <w:textAlignment w:val="auto"/>
        <w:outlineLvl w:val="0"/>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3.6.2 强化政治功能，打牢基层基础。</w:t>
      </w:r>
      <w:r>
        <w:rPr>
          <w:rFonts w:hint="eastAsia" w:ascii="仿宋" w:hAnsi="仿宋" w:eastAsia="仿宋" w:cs="仿宋"/>
          <w:b w:val="0"/>
          <w:bCs w:val="0"/>
          <w:color w:val="auto"/>
          <w:sz w:val="28"/>
          <w:szCs w:val="36"/>
          <w:lang w:val="en-US" w:eastAsia="zh-CN"/>
        </w:rPr>
        <w:t>整治软弱涣散党组织，加强领导班子建设，制定主体责任清单，落实“一岗双责”，按照标准化要求，配强支委班子，建立6个支部党员活动室，配齐党务干部。落实“三会一课”、主题党日、民主生活会、专题组织生活会和民主评议党员制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bCs w:val="0"/>
          <w:color w:val="auto"/>
          <w:sz w:val="28"/>
          <w:szCs w:val="36"/>
          <w:lang w:val="en-US" w:eastAsia="zh-CN"/>
        </w:rPr>
      </w:pPr>
      <w:r>
        <w:rPr>
          <w:rFonts w:hint="eastAsia" w:ascii="仿宋_GB2312" w:eastAsia="仿宋_GB2312"/>
          <w:b/>
          <w:bCs/>
          <w:sz w:val="28"/>
          <w:szCs w:val="28"/>
          <w:lang w:val="en-US" w:eastAsia="zh-CN"/>
        </w:rPr>
        <w:t xml:space="preserve">3.6.3 </w:t>
      </w:r>
      <w:r>
        <w:rPr>
          <w:rFonts w:hint="eastAsia" w:ascii="仿宋_GB2312" w:eastAsia="仿宋_GB2312"/>
          <w:b/>
          <w:bCs/>
          <w:sz w:val="28"/>
          <w:szCs w:val="28"/>
        </w:rPr>
        <w:t>注重养成，立德树人，德育工作出实效</w:t>
      </w:r>
      <w:r>
        <w:rPr>
          <w:rFonts w:hint="eastAsia" w:ascii="仿宋_GB2312" w:eastAsia="仿宋_GB2312"/>
          <w:b/>
          <w:bCs/>
          <w:sz w:val="28"/>
          <w:szCs w:val="28"/>
          <w:lang w:eastAsia="zh-CN"/>
        </w:rPr>
        <w:t>。</w:t>
      </w:r>
      <w:r>
        <w:rPr>
          <w:rFonts w:hint="eastAsia" w:ascii="仿宋" w:hAnsi="仿宋" w:eastAsia="仿宋" w:cs="仿宋"/>
          <w:b w:val="0"/>
          <w:bCs w:val="0"/>
          <w:color w:val="auto"/>
          <w:sz w:val="28"/>
          <w:szCs w:val="36"/>
          <w:lang w:val="en-US" w:eastAsia="zh-CN"/>
        </w:rPr>
        <w:t>落实习近平总书记关于“四有”好老师和“四个引路人”重要讲话精神，举办师德师风专题讲座，实行全员值班和视导督查制度，开展违纪行为“事不过三”学</w:t>
      </w:r>
      <w:bookmarkStart w:id="3" w:name="_GoBack"/>
      <w:bookmarkEnd w:id="3"/>
      <w:r>
        <w:rPr>
          <w:rFonts w:hint="eastAsia" w:ascii="仿宋" w:hAnsi="仿宋" w:eastAsia="仿宋" w:cs="仿宋"/>
          <w:b w:val="0"/>
          <w:bCs w:val="0"/>
          <w:color w:val="auto"/>
          <w:sz w:val="28"/>
          <w:szCs w:val="36"/>
          <w:lang w:val="en-US" w:eastAsia="zh-CN"/>
        </w:rPr>
        <w:t xml:space="preserve">风整治活动，促进了学生良好行为习惯的养成。 </w:t>
      </w:r>
    </w:p>
    <w:p>
      <w:pPr>
        <w:pageBreakBefore w:val="0"/>
        <w:kinsoku/>
        <w:wordWrap/>
        <w:overflowPunct/>
        <w:topLinePunct w:val="0"/>
        <w:autoSpaceDE/>
        <w:autoSpaceDN/>
        <w:bidi w:val="0"/>
        <w:spacing w:line="480" w:lineRule="exact"/>
        <w:ind w:firstLine="562" w:firstLineChars="200"/>
        <w:textAlignment w:val="auto"/>
        <w:outlineLvl w:val="0"/>
        <w:rPr>
          <w:rFonts w:hint="eastAsia" w:ascii="仿宋" w:hAnsi="仿宋" w:eastAsia="仿宋" w:cs="仿宋"/>
          <w:b w:val="0"/>
          <w:bCs w:val="0"/>
          <w:color w:val="auto"/>
          <w:sz w:val="28"/>
          <w:szCs w:val="36"/>
          <w:lang w:val="en-US" w:eastAsia="zh-CN"/>
        </w:rPr>
      </w:pPr>
      <w:r>
        <w:rPr>
          <w:rFonts w:hint="eastAsia" w:ascii="仿宋_GB2312" w:eastAsia="仿宋_GB2312"/>
          <w:b/>
          <w:bCs/>
          <w:sz w:val="28"/>
          <w:szCs w:val="28"/>
        </w:rPr>
        <w:t xml:space="preserve"> </w:t>
      </w:r>
      <w:r>
        <w:rPr>
          <w:rFonts w:hint="eastAsia" w:ascii="仿宋_GB2312" w:eastAsia="仿宋_GB2312"/>
          <w:b/>
          <w:bCs/>
          <w:sz w:val="28"/>
          <w:szCs w:val="28"/>
          <w:lang w:val="en-US" w:eastAsia="zh-CN"/>
        </w:rPr>
        <w:t>2.6.4</w:t>
      </w:r>
      <w:r>
        <w:rPr>
          <w:rFonts w:hint="eastAsia" w:ascii="仿宋_GB2312" w:eastAsia="仿宋_GB2312"/>
          <w:b/>
          <w:bCs/>
          <w:sz w:val="28"/>
          <w:szCs w:val="28"/>
        </w:rPr>
        <w:t>把握舆论导向，做好思想政治工作</w:t>
      </w:r>
      <w:r>
        <w:rPr>
          <w:rFonts w:hint="eastAsia" w:ascii="仿宋_GB2312" w:eastAsia="仿宋_GB2312"/>
          <w:b/>
          <w:bCs/>
          <w:sz w:val="28"/>
          <w:szCs w:val="28"/>
          <w:lang w:eastAsia="zh-CN"/>
        </w:rPr>
        <w:t>。</w:t>
      </w:r>
      <w:r>
        <w:rPr>
          <w:rFonts w:hint="eastAsia" w:ascii="仿宋" w:hAnsi="仿宋" w:eastAsia="仿宋" w:cs="仿宋"/>
          <w:b w:val="0"/>
          <w:bCs w:val="0"/>
          <w:color w:val="auto"/>
          <w:sz w:val="28"/>
          <w:szCs w:val="36"/>
          <w:lang w:val="en-US" w:eastAsia="zh-CN"/>
        </w:rPr>
        <w:t>加强教职工思想政治工作和师德师风教育。坚持政治学习制度，严防自由化思潮的侵袭，牢牢把握意识形态领导权和主动权。加大重要岗位和关键环节监管力度；开展警示教育，以身边案例教育身边人，使党员干部从中吸取深刻教训，筑牢防腐拒变心理防线。</w:t>
      </w:r>
    </w:p>
    <w:p>
      <w:pPr>
        <w:pageBreakBefore w:val="0"/>
        <w:kinsoku/>
        <w:wordWrap/>
        <w:overflowPunct/>
        <w:topLinePunct w:val="0"/>
        <w:autoSpaceDE/>
        <w:autoSpaceDN/>
        <w:bidi w:val="0"/>
        <w:spacing w:line="480" w:lineRule="exact"/>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4.校企合作</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4.1 校企合作共育人才，产教融合创新突破</w:t>
      </w:r>
    </w:p>
    <w:p>
      <w:pPr>
        <w:pageBreakBefore w:val="0"/>
        <w:kinsoku/>
        <w:wordWrap/>
        <w:overflowPunct/>
        <w:topLinePunct w:val="0"/>
        <w:autoSpaceDE/>
        <w:autoSpaceDN/>
        <w:bidi w:val="0"/>
        <w:spacing w:line="480" w:lineRule="exact"/>
        <w:ind w:firstLine="560" w:firstLineChars="200"/>
        <w:textAlignment w:val="auto"/>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学校围绕专业发展规划，</w:t>
      </w:r>
      <w:r>
        <w:rPr>
          <w:rFonts w:hint="eastAsia" w:ascii="仿宋" w:hAnsi="仿宋" w:eastAsia="仿宋" w:cs="仿宋"/>
          <w:b w:val="0"/>
          <w:bCs w:val="0"/>
          <w:color w:val="auto"/>
          <w:sz w:val="28"/>
          <w:szCs w:val="28"/>
          <w:lang w:val="en-US" w:eastAsia="zh-CN"/>
        </w:rPr>
        <w:t>2019年实现每个系部在校企合作上都有了新突破。</w:t>
      </w:r>
    </w:p>
    <w:p>
      <w:pPr>
        <w:pageBreakBefore w:val="0"/>
        <w:kinsoku/>
        <w:wordWrap/>
        <w:overflowPunct/>
        <w:topLinePunct w:val="0"/>
        <w:autoSpaceDE/>
        <w:autoSpaceDN/>
        <w:bidi w:val="0"/>
        <w:spacing w:line="480" w:lineRule="exact"/>
        <w:ind w:firstLine="560" w:firstLineChars="200"/>
        <w:textAlignment w:val="auto"/>
        <w:outlineLvl w:val="1"/>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一是汽车工程系</w:t>
      </w:r>
      <w:r>
        <w:rPr>
          <w:rFonts w:hint="eastAsia" w:ascii="仿宋" w:hAnsi="仿宋" w:eastAsia="仿宋" w:cs="仿宋"/>
          <w:b w:val="0"/>
          <w:bCs w:val="0"/>
          <w:color w:val="auto"/>
          <w:sz w:val="28"/>
          <w:szCs w:val="28"/>
        </w:rPr>
        <w:t>深化与东风柳汽校企合作。</w:t>
      </w:r>
      <w:bookmarkStart w:id="2" w:name="OLE_LINK1"/>
      <w:r>
        <w:rPr>
          <w:rFonts w:hint="eastAsia" w:ascii="仿宋" w:hAnsi="仿宋" w:eastAsia="仿宋" w:cs="仿宋"/>
          <w:b w:val="0"/>
          <w:bCs w:val="0"/>
          <w:color w:val="auto"/>
          <w:sz w:val="28"/>
          <w:szCs w:val="28"/>
        </w:rPr>
        <w:t>通过独家谈判与东风柳汽签订2019年海外汽车维修售后服务技术培训、2019年全国售后服务技术培训，实现从</w:t>
      </w:r>
      <w:r>
        <w:rPr>
          <w:rFonts w:hint="default" w:ascii="仿宋" w:hAnsi="仿宋" w:eastAsia="仿宋" w:cs="仿宋"/>
          <w:b w:val="0"/>
          <w:bCs w:val="0"/>
          <w:color w:val="auto"/>
          <w:sz w:val="28"/>
          <w:szCs w:val="28"/>
        </w:rPr>
        <w:t>人</w:t>
      </w:r>
      <w:r>
        <w:rPr>
          <w:rFonts w:hint="eastAsia" w:ascii="仿宋" w:hAnsi="仿宋" w:eastAsia="仿宋" w:cs="仿宋"/>
          <w:b w:val="0"/>
          <w:bCs w:val="0"/>
          <w:color w:val="auto"/>
          <w:sz w:val="28"/>
          <w:szCs w:val="28"/>
        </w:rPr>
        <w:t>找项目到项目找人的根本性转变。积极推进东风柳汽T5等新车型维修手册的开发及编写工作，进一步从学习企业标准向共同制定企业标准转变。顺利完成25期约600人东风柳汽全国服务站售后服务人员技术培训、技师认定、新员工入职培训工作；完成东风柳汽S50EVB新能源汽车等4个车型维修手册编写工作；完成东风柳汽海外市场突尼斯等4个国家的技术员工培训工作；完成电子出版社汽车维修工等三门教材123个维修视频制作。</w:t>
      </w:r>
    </w:p>
    <w:bookmarkEnd w:id="2"/>
    <w:p>
      <w:pPr>
        <w:pageBreakBefore w:val="0"/>
        <w:kinsoku/>
        <w:wordWrap/>
        <w:overflowPunct/>
        <w:topLinePunct w:val="0"/>
        <w:autoSpaceDE/>
        <w:autoSpaceDN/>
        <w:bidi w:val="0"/>
        <w:spacing w:line="480" w:lineRule="exact"/>
        <w:ind w:firstLine="560" w:firstLineChars="200"/>
        <w:textAlignment w:val="auto"/>
        <w:outlineLvl w:val="1"/>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二是机电工程系大力推进无人机专业方向的发展，</w:t>
      </w:r>
      <w:r>
        <w:rPr>
          <w:rFonts w:hint="eastAsia" w:ascii="仿宋" w:hAnsi="仿宋" w:eastAsia="仿宋" w:cs="仿宋"/>
          <w:b w:val="0"/>
          <w:bCs w:val="0"/>
          <w:color w:val="auto"/>
          <w:sz w:val="28"/>
          <w:szCs w:val="28"/>
        </w:rPr>
        <w:t>与柳州市广播电视台签订中国遥控航空运动协会ASFC飞行员执照培训的协议，让柳州市第一块“无人机培训中心”的牌匾落户我校，加速我校无人机专业的建设。</w:t>
      </w:r>
      <w:r>
        <w:rPr>
          <w:rFonts w:hint="eastAsia" w:ascii="仿宋" w:hAnsi="仿宋" w:eastAsia="仿宋" w:cs="仿宋"/>
          <w:b w:val="0"/>
          <w:bCs w:val="0"/>
          <w:color w:val="auto"/>
          <w:sz w:val="28"/>
          <w:szCs w:val="28"/>
          <w:lang w:eastAsia="zh-CN"/>
        </w:rPr>
        <w:t>订单办学取得较好效果：</w:t>
      </w:r>
      <w:r>
        <w:rPr>
          <w:rFonts w:hint="eastAsia" w:ascii="仿宋" w:hAnsi="仿宋" w:eastAsia="仿宋" w:cs="仿宋"/>
          <w:b w:val="0"/>
          <w:bCs w:val="0"/>
          <w:color w:val="auto"/>
          <w:sz w:val="28"/>
          <w:szCs w:val="28"/>
        </w:rPr>
        <w:t>与佛山顺德汽车配件有限公司签订校企合作协议，开设“矢崎”订单班，招生40人;与长城汽车股份有限公司签订校企合作，开设“长城”订单班，招生40人;与厦门中海航集团签订校企合作，实现订单班办学，2019年招生无人机订单班两个班共60人；与柳州市坤城电梯有限公司签订校企合作，实现师资互派，相互学习。</w:t>
      </w:r>
    </w:p>
    <w:p>
      <w:pPr>
        <w:pageBreakBefore w:val="0"/>
        <w:kinsoku/>
        <w:wordWrap/>
        <w:overflowPunct/>
        <w:topLinePunct w:val="0"/>
        <w:autoSpaceDE/>
        <w:autoSpaceDN/>
        <w:bidi w:val="0"/>
        <w:spacing w:line="480" w:lineRule="exact"/>
        <w:ind w:firstLine="560" w:firstLineChars="200"/>
        <w:textAlignment w:val="auto"/>
        <w:outlineLvl w:val="1"/>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三是交通工程系（</w:t>
      </w:r>
      <w:r>
        <w:rPr>
          <w:rFonts w:hint="eastAsia" w:ascii="仿宋" w:hAnsi="仿宋" w:eastAsia="仿宋" w:cs="仿宋"/>
          <w:b w:val="0"/>
          <w:bCs w:val="0"/>
          <w:color w:val="auto"/>
          <w:sz w:val="28"/>
          <w:szCs w:val="28"/>
          <w:lang w:val="en-US" w:eastAsia="zh-CN"/>
        </w:rPr>
        <w:t>2019年底分为航海与路桥工程系和交通服务工程系</w:t>
      </w:r>
      <w:r>
        <w:rPr>
          <w:rFonts w:hint="eastAsia" w:ascii="仿宋" w:hAnsi="仿宋" w:eastAsia="仿宋" w:cs="仿宋"/>
          <w:b w:val="0"/>
          <w:bCs w:val="0"/>
          <w:color w:val="auto"/>
          <w:sz w:val="28"/>
          <w:szCs w:val="28"/>
          <w:lang w:eastAsia="zh-CN"/>
        </w:rPr>
        <w:t>）的校企合作取得良好的成绩。</w:t>
      </w:r>
      <w:r>
        <w:rPr>
          <w:rFonts w:hint="eastAsia" w:ascii="仿宋" w:hAnsi="仿宋" w:eastAsia="仿宋" w:cs="仿宋"/>
          <w:b w:val="0"/>
          <w:bCs w:val="0"/>
          <w:color w:val="auto"/>
          <w:sz w:val="28"/>
          <w:szCs w:val="28"/>
        </w:rPr>
        <w:t>与广西柳工机械股份有限责任公司、汇租科技服务有限责任公司达成三方校企合作协议</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与泰升航运有限责任公司签订校企合作办学协议书，泰升航运有限责任公司向我校捐赠教学训练游艇一艘。与南宁百信乐科技有限公司签订上汽通用五菱（南宁百信乐科技有限公司承办）用户联络中心实训基地合作协议。与</w:t>
      </w:r>
      <w:r>
        <w:rPr>
          <w:rFonts w:hint="default" w:ascii="仿宋" w:hAnsi="仿宋" w:eastAsia="仿宋" w:cs="仿宋"/>
          <w:b w:val="0"/>
          <w:bCs w:val="0"/>
          <w:color w:val="auto"/>
          <w:sz w:val="28"/>
          <w:szCs w:val="28"/>
        </w:rPr>
        <w:t>广西</w:t>
      </w:r>
      <w:r>
        <w:rPr>
          <w:rFonts w:hint="eastAsia" w:ascii="仿宋" w:hAnsi="仿宋" w:eastAsia="仿宋" w:cs="仿宋"/>
          <w:b w:val="0"/>
          <w:bCs w:val="0"/>
          <w:color w:val="auto"/>
          <w:sz w:val="28"/>
          <w:szCs w:val="28"/>
        </w:rPr>
        <w:t>香海船务公司签订校企合作协议，并完成船舶驾驶专业的船员培训资质材料编写工作。</w:t>
      </w:r>
    </w:p>
    <w:p>
      <w:pPr>
        <w:pageBreakBefore w:val="0"/>
        <w:kinsoku/>
        <w:wordWrap/>
        <w:overflowPunct/>
        <w:topLinePunct w:val="0"/>
        <w:autoSpaceDE/>
        <w:autoSpaceDN/>
        <w:bidi w:val="0"/>
        <w:spacing w:line="480" w:lineRule="exact"/>
        <w:ind w:firstLine="560" w:firstLineChars="200"/>
        <w:textAlignment w:val="auto"/>
        <w:outlineLvl w:val="1"/>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四是公共基础部走出了校企</w:t>
      </w:r>
      <w:r>
        <w:rPr>
          <w:rFonts w:hint="eastAsia" w:ascii="仿宋" w:hAnsi="仿宋" w:eastAsia="仿宋" w:cs="仿宋"/>
          <w:b w:val="0"/>
          <w:bCs w:val="0"/>
          <w:color w:val="auto"/>
          <w:sz w:val="28"/>
          <w:szCs w:val="28"/>
        </w:rPr>
        <w:t>共促中职升本</w:t>
      </w:r>
      <w:r>
        <w:rPr>
          <w:rFonts w:hint="eastAsia" w:ascii="仿宋" w:hAnsi="仿宋" w:eastAsia="仿宋" w:cs="仿宋"/>
          <w:b w:val="0"/>
          <w:bCs w:val="0"/>
          <w:color w:val="auto"/>
          <w:sz w:val="28"/>
          <w:szCs w:val="28"/>
          <w:lang w:eastAsia="zh-CN"/>
        </w:rPr>
        <w:t>道路，</w:t>
      </w:r>
      <w:r>
        <w:rPr>
          <w:rFonts w:hint="eastAsia" w:ascii="仿宋" w:hAnsi="仿宋" w:eastAsia="仿宋" w:cs="仿宋"/>
          <w:b w:val="0"/>
          <w:bCs w:val="0"/>
          <w:color w:val="auto"/>
          <w:sz w:val="28"/>
          <w:szCs w:val="28"/>
        </w:rPr>
        <w:t>与广西沃学教育投资集团就休闲体育服务与管理专业签订中职升本合作协议。成立广西体育舞蹈教师、裁判员培训基地。</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 xml:space="preserve">4.2 </w:t>
      </w:r>
      <w:r>
        <w:rPr>
          <w:rFonts w:hint="eastAsia" w:ascii="仿宋" w:hAnsi="仿宋" w:eastAsia="仿宋" w:cs="仿宋"/>
          <w:b/>
          <w:bCs/>
          <w:color w:val="auto"/>
          <w:sz w:val="28"/>
          <w:szCs w:val="28"/>
          <w:lang w:eastAsia="zh-CN"/>
        </w:rPr>
        <w:t>学生实习</w:t>
      </w:r>
    </w:p>
    <w:p>
      <w:pPr>
        <w:pStyle w:val="10"/>
        <w:pageBreakBefore w:val="0"/>
        <w:shd w:val="clear" w:color="auto" w:fill="FFFFFF"/>
        <w:kinsoku/>
        <w:wordWrap/>
        <w:overflowPunct/>
        <w:topLinePunct w:val="0"/>
        <w:autoSpaceDE/>
        <w:autoSpaceDN/>
        <w:bidi w:val="0"/>
        <w:spacing w:before="0" w:beforeAutospacing="0" w:after="0" w:afterAutospacing="0"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我校严格按照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职业学校学生实习管理规定》要求规范学生实习工作，并选择合法经营、管理规范、实习设备完备、符合安全生产法律法规要求的实习单位安排学生实习，同时按照文件的规定对学生进行管理和考核，如实习三方协议的签订、统一为实习学生购买保险、安排教师进行实习回访及要求学生完成实习日志等。</w:t>
      </w:r>
    </w:p>
    <w:p>
      <w:pPr>
        <w:pStyle w:val="10"/>
        <w:pageBreakBefore w:val="0"/>
        <w:shd w:val="clear" w:color="auto" w:fill="FFFFFF"/>
        <w:kinsoku/>
        <w:wordWrap/>
        <w:overflowPunct/>
        <w:topLinePunct w:val="0"/>
        <w:autoSpaceDE/>
        <w:autoSpaceDN/>
        <w:bidi w:val="0"/>
        <w:spacing w:before="0" w:beforeAutospacing="0" w:after="0" w:afterAutospacing="0"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2019年我校汽车运用与维修、汽车美容与装潢、新能源汽运用与维修等交通运输类专业大部分学生进入到上汽通用五菱汽车股份有限公司、广西玲珑轮胎有限公司、柳州五菱汽车工业有限公司及柳州上汽汽车变速器有限公司等各大企事业单位实习就业，到这部分单位实习的学生平均起薪3000元/月，从事的岗位有装配岗、维修岗、钳工等相关岗位，学生对单位的满意度较高。其中一部分学生到柳州市各个汽车4S店、汽车修理店等单位进行就业，从事汽车发动机维修、底盘维修、汽车电气维修和汽车外形整修等各类岗位；另一部分学生从事汽车零配件管理、汽车维修业务接待、汽车及配件销售等工作。公路运输管理专业学生主要在广西交通投资集团实习，主要从事的岗位有收费、路政管理、ETC信息操作等，物流服务与管理专业学生往物流企业、贸易公司、货运公司、港口从事采购、仓储、运输、客服、出纳和运营管理等工作。汽车制造与检修、数控技术应用等加工制造类专业学生主要在柳州市钜嘉模具有限公司、柳州汇众模具技术有限公司等企业实习。</w:t>
      </w:r>
    </w:p>
    <w:p>
      <w:pPr>
        <w:pStyle w:val="10"/>
        <w:pageBreakBefore w:val="0"/>
        <w:shd w:val="clear" w:color="auto" w:fill="FFFFFF"/>
        <w:kinsoku/>
        <w:wordWrap/>
        <w:overflowPunct/>
        <w:topLinePunct w:val="0"/>
        <w:autoSpaceDE/>
        <w:autoSpaceDN/>
        <w:bidi w:val="0"/>
        <w:spacing w:before="0" w:beforeAutospacing="0" w:after="0" w:afterAutospacing="0"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总体而言，我校大部分学生均能进入到对口的企事业单位实习，学生也能较快地将学校所学的专业知识和技能运用实际工作中，特别是在操作能力上大部分实习生得到用人单位的好评，但学生在职业道德、吃苦耐劳及沟通能力上有待提高。</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4.3 强化集团化办学</w:t>
      </w:r>
    </w:p>
    <w:p>
      <w:pPr>
        <w:pageBreakBefore w:val="0"/>
        <w:kinsoku/>
        <w:wordWrap/>
        <w:overflowPunct/>
        <w:topLinePunct w:val="0"/>
        <w:autoSpaceDE/>
        <w:autoSpaceDN/>
        <w:bidi w:val="0"/>
        <w:spacing w:line="48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 xml:space="preserve">4.3.1 </w:t>
      </w:r>
      <w:r>
        <w:rPr>
          <w:rFonts w:hint="eastAsia" w:ascii="仿宋" w:hAnsi="仿宋" w:eastAsia="仿宋" w:cs="仿宋"/>
          <w:b/>
          <w:bCs/>
          <w:color w:val="auto"/>
          <w:sz w:val="28"/>
          <w:szCs w:val="28"/>
        </w:rPr>
        <w:t>强化集团化办学，推行校企行</w:t>
      </w:r>
      <w:r>
        <w:rPr>
          <w:rFonts w:hint="eastAsia" w:ascii="仿宋" w:hAnsi="仿宋" w:eastAsia="仿宋" w:cs="仿宋"/>
          <w:b/>
          <w:bCs/>
          <w:color w:val="auto"/>
          <w:sz w:val="28"/>
          <w:szCs w:val="28"/>
          <w:lang w:eastAsia="zh-CN"/>
        </w:rPr>
        <w:t>联动</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校一如继往高度重视集团化办学工作，进一步加强与各职业教育集团成员交流互动与深度融合，按章程履行职责，探索创新集团办学的新思路、新方法，积极为柳州、广西社会政治、经济服务，为广西柳州汽车城建设发展壮大服务，为西江经济带企业和用人单位服务。</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2019</w:t>
      </w:r>
      <w:r>
        <w:rPr>
          <w:rFonts w:hint="eastAsia" w:ascii="仿宋" w:hAnsi="仿宋" w:eastAsia="仿宋" w:cs="仿宋"/>
          <w:color w:val="auto"/>
          <w:sz w:val="28"/>
          <w:szCs w:val="28"/>
        </w:rPr>
        <w:t>学校</w:t>
      </w:r>
      <w:r>
        <w:rPr>
          <w:rFonts w:hint="eastAsia" w:ascii="仿宋" w:hAnsi="仿宋" w:eastAsia="仿宋" w:cs="仿宋"/>
          <w:color w:val="auto"/>
          <w:sz w:val="28"/>
          <w:szCs w:val="28"/>
          <w:lang w:eastAsia="zh-CN"/>
        </w:rPr>
        <w:t>在原</w:t>
      </w:r>
      <w:r>
        <w:rPr>
          <w:rFonts w:hint="eastAsia" w:ascii="仿宋" w:hAnsi="仿宋" w:eastAsia="仿宋" w:cs="仿宋"/>
          <w:color w:val="auto"/>
          <w:sz w:val="28"/>
          <w:szCs w:val="28"/>
        </w:rPr>
        <w:t>参加广西汽车产业职教集团、柳州汽车技术人才培养培训职教集团、广西北部湾交通职教集团、柳州现代服务业职教集团、柳州市工程机械职业教育集团等5个职业教育集团</w:t>
      </w:r>
      <w:r>
        <w:rPr>
          <w:rFonts w:hint="eastAsia" w:ascii="仿宋" w:hAnsi="仿宋" w:eastAsia="仿宋" w:cs="仿宋"/>
          <w:color w:val="auto"/>
          <w:sz w:val="28"/>
          <w:szCs w:val="28"/>
          <w:lang w:eastAsia="zh-CN"/>
        </w:rPr>
        <w:t>的基础上，</w:t>
      </w:r>
      <w:r>
        <w:rPr>
          <w:rFonts w:hint="eastAsia" w:ascii="仿宋" w:hAnsi="仿宋" w:eastAsia="仿宋" w:cs="仿宋"/>
          <w:color w:val="auto"/>
          <w:sz w:val="28"/>
          <w:szCs w:val="28"/>
          <w:lang w:val="en-US" w:eastAsia="zh-CN"/>
        </w:rPr>
        <w:t>新加入了广西轨道交通工程职教集团、柳州旅游职教集团。</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学校与集团内企业长期保持紧密深入合作有关系，不断把“人才共育、专业共建、过程共管、文化共融、资源共用、师资共享、责任共担、利益共取”集团运作理念推向深入。</w:t>
      </w:r>
    </w:p>
    <w:p>
      <w:pPr>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仿宋" w:hAnsi="仿宋" w:eastAsia="仿宋" w:cs="仿宋"/>
          <w:b/>
          <w:bCs w:val="0"/>
          <w:color w:val="auto"/>
          <w:sz w:val="28"/>
          <w:szCs w:val="28"/>
          <w:shd w:val="clear" w:color="auto" w:fill="FFFFFF"/>
        </w:rPr>
      </w:pPr>
      <w:r>
        <w:rPr>
          <w:rFonts w:hint="eastAsia" w:ascii="仿宋" w:hAnsi="仿宋" w:eastAsia="仿宋" w:cs="仿宋"/>
          <w:b/>
          <w:bCs w:val="0"/>
          <w:color w:val="auto"/>
          <w:sz w:val="28"/>
          <w:szCs w:val="28"/>
        </w:rPr>
        <w:t xml:space="preserve">4.3.2 </w:t>
      </w:r>
      <w:r>
        <w:rPr>
          <w:rFonts w:hint="eastAsia" w:ascii="仿宋" w:hAnsi="仿宋" w:eastAsia="仿宋" w:cs="仿宋"/>
          <w:b/>
          <w:bCs w:val="0"/>
          <w:color w:val="auto"/>
          <w:sz w:val="28"/>
          <w:szCs w:val="28"/>
          <w:lang w:eastAsia="zh-CN"/>
        </w:rPr>
        <w:t>校</w:t>
      </w:r>
      <w:r>
        <w:rPr>
          <w:rFonts w:hint="default" w:ascii="仿宋" w:hAnsi="仿宋" w:eastAsia="仿宋" w:cs="仿宋"/>
          <w:b/>
          <w:bCs w:val="0"/>
          <w:color w:val="auto"/>
          <w:sz w:val="28"/>
          <w:szCs w:val="28"/>
          <w:lang w:eastAsia="zh-CN"/>
        </w:rPr>
        <w:t>校</w:t>
      </w:r>
      <w:r>
        <w:rPr>
          <w:rFonts w:hint="eastAsia" w:ascii="仿宋" w:hAnsi="仿宋" w:eastAsia="仿宋" w:cs="仿宋"/>
          <w:b/>
          <w:bCs w:val="0"/>
          <w:color w:val="auto"/>
          <w:sz w:val="28"/>
          <w:szCs w:val="28"/>
          <w:lang w:eastAsia="zh-CN"/>
        </w:rPr>
        <w:t>、校企</w:t>
      </w:r>
      <w:r>
        <w:rPr>
          <w:rFonts w:hint="eastAsia" w:ascii="仿宋" w:hAnsi="仿宋" w:eastAsia="仿宋" w:cs="仿宋"/>
          <w:b/>
          <w:bCs w:val="0"/>
          <w:color w:val="auto"/>
          <w:sz w:val="28"/>
          <w:szCs w:val="28"/>
          <w:shd w:val="clear" w:color="auto" w:fill="FFFFFF"/>
        </w:rPr>
        <w:t>合作,助推专业提质增速</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与柳州市鱼峰区里雍中学、西鹅乡中学、柳州市第</w:t>
      </w:r>
      <w:r>
        <w:rPr>
          <w:rFonts w:hint="default" w:ascii="仿宋" w:hAnsi="仿宋" w:eastAsia="仿宋" w:cs="仿宋"/>
          <w:color w:val="auto"/>
          <w:sz w:val="28"/>
          <w:szCs w:val="28"/>
        </w:rPr>
        <w:t>十一</w:t>
      </w:r>
      <w:r>
        <w:rPr>
          <w:rFonts w:hint="eastAsia" w:ascii="仿宋" w:hAnsi="仿宋" w:eastAsia="仿宋" w:cs="仿宋"/>
          <w:color w:val="auto"/>
          <w:sz w:val="28"/>
          <w:szCs w:val="28"/>
        </w:rPr>
        <w:t>中学、柳江区教育局等建立了“劳动和职业启蒙教育”基地。在三江县梅林中学挂牌成立柳州市交通学校体育舞蹈专业人才培养基地，与地方初级中学共同“创新协同育人”。</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2019年</w:t>
      </w:r>
      <w:r>
        <w:rPr>
          <w:rFonts w:hint="default" w:ascii="仿宋" w:hAnsi="仿宋" w:eastAsia="仿宋" w:cs="仿宋"/>
          <w:color w:val="auto"/>
          <w:kern w:val="0"/>
          <w:sz w:val="28"/>
          <w:szCs w:val="28"/>
        </w:rPr>
        <w:t>学</w:t>
      </w:r>
      <w:r>
        <w:rPr>
          <w:rFonts w:hint="eastAsia" w:ascii="仿宋" w:hAnsi="仿宋" w:eastAsia="仿宋" w:cs="仿宋"/>
          <w:color w:val="auto"/>
          <w:kern w:val="0"/>
          <w:sz w:val="28"/>
          <w:szCs w:val="28"/>
        </w:rPr>
        <w:t>校共与厦门中海航通用航空科技有限公司、知合行教育投资有限公司、广西沃学教育投资集团有限公司、佛山顺德矢崎汽车配件有限公司、广西香海船务有限公司、长城汽车股份有限公司等六家企业进行校企</w:t>
      </w:r>
      <w:r>
        <w:rPr>
          <w:rFonts w:hint="eastAsia" w:ascii="仿宋" w:hAnsi="仿宋" w:eastAsia="仿宋" w:cs="仿宋"/>
          <w:color w:val="auto"/>
          <w:kern w:val="0"/>
          <w:sz w:val="28"/>
          <w:szCs w:val="28"/>
          <w:lang w:eastAsia="zh-CN"/>
        </w:rPr>
        <w:t>联合办学</w:t>
      </w:r>
      <w:r>
        <w:rPr>
          <w:rFonts w:hint="eastAsia" w:ascii="仿宋" w:hAnsi="仿宋" w:eastAsia="仿宋" w:cs="仿宋"/>
          <w:color w:val="auto"/>
          <w:kern w:val="0"/>
          <w:sz w:val="28"/>
          <w:szCs w:val="28"/>
        </w:rPr>
        <w:t>。</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厦门中海航通用航空科技有限公司与我校合作专业为道路与桥梁工程施工（无人机应用与维护）。招收学历学制层次为初中起点三年制（采用2+0.5+0.5跟岗及顶岗实习模式），学生可考取考取民航局无人机视距内驾驶员飞行执照。公司派专业教师向我校学生进行专业理论和实训课程教学，我校为厦门中海航通用航空科技有限公司教师提供免费宿舍。公司负责我校无人机实训室建设包括无人机展厅一间模拟飞行教学实训软件及模拟器40套、无人机拆装调试实训室一间，根据柳州市交通学校招生人数分批投入。</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知合行教育投资有限公司与我校合作公路运输管理（高速铁路客运服务）专业，采取三年制“2+1”的合作模式。合作学生前两年文化课程和专业课程穿插知合行教育投资有限公司特色课程体系及人文素质教育课程在柳州市交通学校完成，第三年在知合行教育投资有限公司培养基地进行高端专业课程学习、实操及100%安置就业。公司负责学生大专学籍注册，大专毕业证的发放；负责组织学生考取相关就业方向职业资格证书；负责与学生家长签订《培养就业协议书》。学生毕业时，学生与企业签署劳动合同等相关事宜，负责协调和督办学生与企业发生的劳资纠纷，后期跟踪服务至少一年，然后由公司负责安置学生岗前培训及订单企业实习、就业安置。</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2017级22名实习生已于2019年9月3日前往武汉知合行教育集团进行岗前培训，据家长、学生和带队老师反馈，学生对学校环境、住宿、学习都表示满意，目前培训效果较好。</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广西沃学教育投资集团有限公司与我校合作专业为休闲体育服务与管理专业（体育舞蹈方向）定向班（实际开设专业为美术）。公司对冠名班学生，在第一学年派企业相关人员进行企业文化讲座培训，每学年在学校进行素描、色彩、速写、国画等定向基础级专业教学。学生在完成顶岗实习及企业的考证合格后，安排至合作企业单位，或直接推荐升学。</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公司每学年在每个冠名班中选出8%的学生，以500元/人的标准颁发奖学金；免费提供由企业标准的班服（或运动服）冬夏各一套；对学校的重大活动、公益活动、学生竞赛等，提供适当的资金支持；按提供的定向班专业课程内容进行教学工作，并支付专业课教师工资；广西沃学教育投资集团有限公司教师服从柳州市交通学校管理。奖学金及服装等由广西沃学教育投资集团有限公司直接发给相应人员。</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佛山顺德矢崎汽车配件有限公司与我校合作专业为汽车制造与检修（矢崎冠名班）。学校每年组织“矢崎冠名班”学生在佛山顺德矢崎汽车配件有限公司实习，原则上实习期限为一年，在此期间柳州市交通学校确保学生在佛山顺德矢崎汽车配件有限公司实习不少于6个月。</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公司每学年在每个冠名班中选出4名优秀学员，并以500元/人的标准颁发奖学金。在每个冠名班向10名家庭特困生提供生活补助。另外，公司配合柳州市交通学校提供汽车电器电线束集成实训室的实训设备，提供汽车整车电路电线束模型。</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广西香海船务有限公司与我校作国际邮轮乘务专业，并形成1.5+1+0.5的合作模式。（前1.5年在校学习，中间1年在实习就业基地学习、实训实习，后0.5年推荐就业），公司负责派送专业骨干教师到我校现场授课，负责安排学生实习与就业。实习结束后将合格的学生安置到海洋或内河邮轮、内河游船、游艇、客滚船等交通客运服务相关岗位。</w:t>
      </w:r>
    </w:p>
    <w:p>
      <w:pPr>
        <w:pageBreakBefore w:val="0"/>
        <w:kinsoku/>
        <w:wordWrap/>
        <w:overflowPunct/>
        <w:topLinePunct w:val="0"/>
        <w:autoSpaceDE/>
        <w:autoSpaceDN/>
        <w:bidi w:val="0"/>
        <w:spacing w:line="480" w:lineRule="exact"/>
        <w:ind w:firstLine="560" w:firstLineChars="200"/>
        <w:textAlignment w:val="auto"/>
        <w:outlineLvl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长城汽车股份有限公司与我校合作专业为汽车运用与维修和新能源汽车运用与维修，设立“助学金”：长城汽车股份有限公司为支持培养家庭困难学生，设立“长城汽车助学金”，每年资助贫困学生10人，每人资助1000元，每届学生资助两次。</w:t>
      </w:r>
    </w:p>
    <w:p>
      <w:pPr>
        <w:pageBreakBefore w:val="0"/>
        <w:kinsoku/>
        <w:wordWrap/>
        <w:overflowPunct/>
        <w:topLinePunct w:val="0"/>
        <w:autoSpaceDE/>
        <w:autoSpaceDN/>
        <w:bidi w:val="0"/>
        <w:spacing w:line="480" w:lineRule="exact"/>
        <w:ind w:firstLine="562" w:firstLineChars="200"/>
        <w:textAlignment w:val="auto"/>
        <w:outlineLvl w:val="0"/>
        <w:rPr>
          <w:rFonts w:hint="eastAsia" w:ascii="仿宋" w:hAnsi="仿宋" w:eastAsia="仿宋" w:cs="仿宋"/>
          <w:color w:val="auto"/>
          <w:sz w:val="28"/>
          <w:szCs w:val="28"/>
        </w:rPr>
      </w:pPr>
      <w:r>
        <w:rPr>
          <w:rFonts w:hint="eastAsia" w:ascii="仿宋" w:hAnsi="仿宋" w:eastAsia="仿宋" w:cs="仿宋"/>
          <w:b/>
          <w:bCs/>
          <w:color w:val="auto"/>
          <w:sz w:val="28"/>
          <w:szCs w:val="28"/>
        </w:rPr>
        <w:t>5.社会贡献</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5.1技术技能人才培养</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b w:val="0"/>
          <w:bCs w:val="0"/>
          <w:color w:val="auto"/>
          <w:sz w:val="28"/>
          <w:szCs w:val="28"/>
        </w:rPr>
        <w:t>完善培养模式，用人单位满意度明显提高。学</w:t>
      </w:r>
      <w:r>
        <w:rPr>
          <w:rFonts w:hint="eastAsia" w:ascii="仿宋" w:hAnsi="仿宋" w:eastAsia="仿宋" w:cs="仿宋"/>
          <w:color w:val="auto"/>
          <w:sz w:val="28"/>
          <w:szCs w:val="28"/>
        </w:rPr>
        <w:t>校遵循“产业引领、岗位对接、德技并举”人才培养模式。</w:t>
      </w:r>
      <w:r>
        <w:rPr>
          <w:rFonts w:hint="eastAsia" w:ascii="仿宋" w:hAnsi="仿宋" w:eastAsia="仿宋" w:cs="仿宋"/>
          <w:color w:val="auto"/>
          <w:kern w:val="0"/>
          <w:sz w:val="28"/>
          <w:szCs w:val="28"/>
        </w:rPr>
        <w:t>紧随当地汽车产业结构调整与升级趋势,深入产业岗位调研，开展职业分析,制定职业能力培养目标，重组专业能力模块，开发对接岗位的课程体系，创新教学内容及教学方法，适应产业升级所带来的人才需求的变化。依托产业办专业，围绕岗位建课程，对接生产设教学，强化职业教育与终身学习相融合；不断完善人才培养模式，优化专业结构、调整教学内容，提高技术技能人才培养的的针对性和培养质量。</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服务地方，助力区域汽车产业发展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顺利完成25期约600人东风柳汽全国服务站售后服务人员技术培训、技师认定、新员工入职培训工作；完成东风柳汽S50EVB新能源汽车等4个车型维修手册编写工作；完成东风柳汽海外市场突尼斯等4个国家的技术员工培训工作；完成电子出版社汽车维修工等三门教材123个维修视频制作。</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color w:val="auto"/>
          <w:sz w:val="28"/>
          <w:szCs w:val="28"/>
        </w:rPr>
      </w:pPr>
      <w:r>
        <w:rPr>
          <w:rFonts w:hint="eastAsia" w:ascii="仿宋" w:hAnsi="仿宋" w:eastAsia="仿宋" w:cs="仿宋"/>
          <w:b/>
          <w:bCs/>
          <w:color w:val="auto"/>
          <w:sz w:val="28"/>
          <w:szCs w:val="28"/>
        </w:rPr>
        <w:t>5.2 社会服务</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职业教育对接终身教育，成人教育、企业培训、职业培训、驾驶培训品牌效应增强，服务地方社会能力明显提升。职业技能培训2764人，机动车驾驶和新增汽车客运、货运资格证项目培训856人，成人继续教育学历教育培训657人。学校于“3.15”消费者权益保护日举行了义务维修车辆社会公益活动。为社会车辆提供免费维修咨询、检查及修理服务。承办并优秀完成市人事考试中心4次大型考试，共安排布置400个考场，约9100人次考生参加考试，组织监考及工作人员约600多人次。完成第十四届（2019年）柳州市职业院校、技工学校学生专业技能比赛承办工作。2019年柳州市中等职业教育教师教学基本功比赛。助力鱼峰区里雍中学开展社团活动。</w:t>
      </w:r>
    </w:p>
    <w:p>
      <w:pPr>
        <w:pageBreakBefore w:val="0"/>
        <w:kinsoku/>
        <w:wordWrap/>
        <w:overflowPunct/>
        <w:topLinePunct w:val="0"/>
        <w:autoSpaceDE/>
        <w:autoSpaceDN/>
        <w:bidi w:val="0"/>
        <w:spacing w:line="480" w:lineRule="exact"/>
        <w:textAlignment w:val="auto"/>
        <w:outlineLvl w:val="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开展志愿者服务</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与钢联社区开展“四联双报到”活动，组织党员进社区13次，慰问老党员，义务服务200人次，与社区一道解决群众实际困难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发挥共青团生力军作用，开展学雷锋、文明劝导、校园垃圾“清零”等活动，参加活动共2016人次。</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color w:val="auto"/>
          <w:sz w:val="28"/>
          <w:szCs w:val="28"/>
        </w:rPr>
      </w:pPr>
      <w:r>
        <w:rPr>
          <w:rFonts w:hint="eastAsia" w:ascii="仿宋" w:hAnsi="仿宋" w:eastAsia="仿宋" w:cs="仿宋"/>
          <w:b/>
          <w:bCs/>
          <w:color w:val="auto"/>
          <w:sz w:val="28"/>
          <w:szCs w:val="28"/>
        </w:rPr>
        <w:t>5.3 对口支援</w:t>
      </w:r>
    </w:p>
    <w:p>
      <w:pPr>
        <w:pageBreakBefore w:val="0"/>
        <w:kinsoku/>
        <w:wordWrap/>
        <w:overflowPunct/>
        <w:topLinePunct w:val="0"/>
        <w:autoSpaceDE/>
        <w:autoSpaceDN/>
        <w:bidi w:val="0"/>
        <w:spacing w:line="480" w:lineRule="exact"/>
        <w:ind w:firstLine="560" w:firstLineChars="200"/>
        <w:textAlignment w:val="auto"/>
        <w:outlineLvl w:val="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政校合作，助力扶贫。</w:t>
      </w:r>
      <w:r>
        <w:rPr>
          <w:rFonts w:hint="eastAsia" w:ascii="仿宋" w:hAnsi="仿宋" w:eastAsia="仿宋" w:cs="仿宋"/>
          <w:b w:val="0"/>
          <w:bCs w:val="0"/>
          <w:color w:val="auto"/>
          <w:sz w:val="28"/>
          <w:szCs w:val="28"/>
        </w:rPr>
        <w:t>学校与柳州市融安县教育局、融水县教育局、柳城县教育局、三江县教育局签订了“精准扶贫合作协议”，校政合作，相互帮扶，为柳州市的控辍保学工作做贡献。</w:t>
      </w:r>
    </w:p>
    <w:p>
      <w:pPr>
        <w:pageBreakBefore w:val="0"/>
        <w:kinsoku/>
        <w:wordWrap/>
        <w:overflowPunct/>
        <w:topLinePunct w:val="0"/>
        <w:autoSpaceDE/>
        <w:autoSpaceDN/>
        <w:bidi w:val="0"/>
        <w:spacing w:line="480" w:lineRule="exact"/>
        <w:ind w:firstLine="560" w:firstLineChars="200"/>
        <w:textAlignment w:val="auto"/>
        <w:outlineLvl w:val="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我校党总支立足实际献爱心，积极开展“一帮一联”扶贫帮困活动。开展每位党员教职工和非党中层干部至少结对帮扶一名在校家庭困难的建档立卡户学生“五个一”行动。围绕思想引导、行为训导、学业指导、亲情陪伴、心理疏导等方面对学生每月做到“五个一”（即每月跟学生谈心谈话一次、到教室宿舍看望一次、检查指导学习一次、请学生吃一餐饭、为学生解决一个困难）。“五个一”行动为贫困生解决了实际困难，树立了信心，提高了学习能力，也为当地政府和学生家长分了忧，为脱贫攻坚出了力。目前，共有84名党员干部参加活动，帮扶了118名贫困生。</w:t>
      </w:r>
    </w:p>
    <w:p>
      <w:pPr>
        <w:pageBreakBefore w:val="0"/>
        <w:kinsoku/>
        <w:wordWrap/>
        <w:overflowPunct/>
        <w:topLinePunct w:val="0"/>
        <w:autoSpaceDE/>
        <w:autoSpaceDN/>
        <w:bidi w:val="0"/>
        <w:spacing w:line="480" w:lineRule="exact"/>
        <w:ind w:firstLine="560" w:firstLineChars="200"/>
        <w:textAlignment w:val="auto"/>
        <w:outlineLvl w:val="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学校通过结对帮扶，定期对贫困户进行走访慰问。驻村队员</w:t>
      </w:r>
      <w:r>
        <w:rPr>
          <w:rFonts w:hint="eastAsia" w:ascii="仿宋" w:hAnsi="仿宋" w:eastAsia="仿宋" w:cs="仿宋"/>
          <w:b w:val="0"/>
          <w:bCs w:val="0"/>
          <w:color w:val="auto"/>
          <w:sz w:val="28"/>
          <w:szCs w:val="28"/>
          <w:lang w:eastAsia="zh-CN"/>
        </w:rPr>
        <w:t>在</w:t>
      </w:r>
      <w:r>
        <w:rPr>
          <w:rFonts w:hint="eastAsia" w:ascii="仿宋" w:hAnsi="仿宋" w:eastAsia="仿宋" w:cs="仿宋"/>
          <w:b w:val="0"/>
          <w:bCs w:val="0"/>
          <w:color w:val="auto"/>
          <w:sz w:val="28"/>
          <w:szCs w:val="28"/>
        </w:rPr>
        <w:t>对口支援贫困村鹿寨县头排镇水头村开展脱贫攻坚工作。学校开办职教圆梦班，为水头村委捐赠贫电脑、打印机</w:t>
      </w:r>
      <w:r>
        <w:rPr>
          <w:rFonts w:hint="eastAsia" w:ascii="仿宋" w:hAnsi="仿宋" w:eastAsia="仿宋" w:cs="仿宋"/>
          <w:b w:val="0"/>
          <w:bCs w:val="0"/>
          <w:color w:val="auto"/>
          <w:sz w:val="28"/>
          <w:szCs w:val="28"/>
          <w:lang w:eastAsia="zh-CN"/>
        </w:rPr>
        <w:t>等</w:t>
      </w:r>
      <w:r>
        <w:rPr>
          <w:rFonts w:hint="eastAsia" w:ascii="仿宋" w:hAnsi="仿宋" w:eastAsia="仿宋" w:cs="仿宋"/>
          <w:b w:val="0"/>
          <w:bCs w:val="0"/>
          <w:color w:val="auto"/>
          <w:sz w:val="28"/>
          <w:szCs w:val="28"/>
          <w:lang w:val="en-US" w:eastAsia="zh-CN"/>
        </w:rPr>
        <w:t>。2019年学校</w:t>
      </w:r>
      <w:r>
        <w:rPr>
          <w:rFonts w:hint="eastAsia" w:ascii="仿宋" w:hAnsi="仿宋" w:eastAsia="仿宋" w:cs="仿宋"/>
          <w:b w:val="0"/>
          <w:bCs w:val="0"/>
          <w:color w:val="auto"/>
          <w:sz w:val="28"/>
          <w:szCs w:val="28"/>
        </w:rPr>
        <w:t>对口支援贫困村已实现整村脱贫。</w:t>
      </w:r>
    </w:p>
    <w:p>
      <w:pPr>
        <w:pageBreakBefore w:val="0"/>
        <w:kinsoku/>
        <w:wordWrap/>
        <w:overflowPunct/>
        <w:topLinePunct w:val="0"/>
        <w:autoSpaceDE/>
        <w:autoSpaceDN/>
        <w:bidi w:val="0"/>
        <w:spacing w:line="480" w:lineRule="exact"/>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6.政府履责</w:t>
      </w:r>
    </w:p>
    <w:p>
      <w:pPr>
        <w:pageBreakBefore w:val="0"/>
        <w:kinsoku/>
        <w:wordWrap/>
        <w:overflowPunct/>
        <w:topLinePunct w:val="0"/>
        <w:autoSpaceDE/>
        <w:autoSpaceDN/>
        <w:bidi w:val="0"/>
        <w:spacing w:line="480" w:lineRule="exact"/>
        <w:ind w:firstLine="562" w:firstLineChars="200"/>
        <w:textAlignment w:val="auto"/>
        <w:outlineLvl w:val="1"/>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6.1 经费</w:t>
      </w:r>
    </w:p>
    <w:p>
      <w:pPr>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年学校获得上级经费支持共计</w:t>
      </w:r>
      <w:r>
        <w:rPr>
          <w:rFonts w:hint="eastAsia" w:ascii="仿宋" w:hAnsi="仿宋" w:eastAsia="仿宋" w:cs="仿宋"/>
          <w:color w:val="auto"/>
          <w:sz w:val="28"/>
          <w:szCs w:val="28"/>
          <w:lang w:val="en-US" w:eastAsia="zh-CN"/>
        </w:rPr>
        <w:t>2108.18</w:t>
      </w:r>
      <w:r>
        <w:rPr>
          <w:rFonts w:hint="eastAsia" w:ascii="仿宋" w:hAnsi="仿宋" w:eastAsia="仿宋" w:cs="仿宋"/>
          <w:color w:val="auto"/>
          <w:sz w:val="28"/>
          <w:szCs w:val="28"/>
        </w:rPr>
        <w:t>万元。其中，免学费、奖学金、助学金拨款等政策性经费</w:t>
      </w:r>
      <w:r>
        <w:rPr>
          <w:rFonts w:hint="eastAsia" w:ascii="仿宋" w:hAnsi="仿宋" w:eastAsia="仿宋" w:cs="仿宋"/>
          <w:color w:val="auto"/>
          <w:sz w:val="28"/>
          <w:szCs w:val="28"/>
          <w:lang w:val="en-US" w:eastAsia="zh-CN"/>
        </w:rPr>
        <w:t>661.46</w:t>
      </w:r>
      <w:r>
        <w:rPr>
          <w:rFonts w:hint="eastAsia" w:ascii="仿宋" w:hAnsi="仿宋" w:eastAsia="仿宋" w:cs="仿宋"/>
          <w:color w:val="auto"/>
          <w:sz w:val="28"/>
          <w:szCs w:val="28"/>
        </w:rPr>
        <w:t>万元；生均拨款经费</w:t>
      </w:r>
      <w:r>
        <w:rPr>
          <w:rFonts w:hint="eastAsia" w:ascii="仿宋" w:hAnsi="仿宋" w:eastAsia="仿宋" w:cs="仿宋"/>
          <w:color w:val="auto"/>
          <w:sz w:val="28"/>
          <w:szCs w:val="28"/>
          <w:lang w:val="en-US" w:eastAsia="zh-CN"/>
        </w:rPr>
        <w:t xml:space="preserve">180.72 </w:t>
      </w:r>
      <w:r>
        <w:rPr>
          <w:rFonts w:hint="eastAsia" w:ascii="仿宋" w:hAnsi="仿宋" w:eastAsia="仿宋" w:cs="仿宋"/>
          <w:color w:val="auto"/>
          <w:sz w:val="28"/>
          <w:szCs w:val="28"/>
        </w:rPr>
        <w:t>万元；项目投入经费</w:t>
      </w:r>
      <w:r>
        <w:rPr>
          <w:rFonts w:hint="eastAsia" w:ascii="仿宋" w:hAnsi="仿宋" w:eastAsia="仿宋" w:cs="仿宋"/>
          <w:color w:val="auto"/>
          <w:sz w:val="28"/>
          <w:szCs w:val="28"/>
          <w:lang w:val="en-US" w:eastAsia="zh-CN"/>
        </w:rPr>
        <w:t>1266</w:t>
      </w:r>
      <w:r>
        <w:rPr>
          <w:rFonts w:hint="eastAsia" w:ascii="仿宋" w:hAnsi="仿宋" w:eastAsia="仿宋" w:cs="仿宋"/>
          <w:color w:val="auto"/>
          <w:sz w:val="28"/>
          <w:szCs w:val="28"/>
        </w:rPr>
        <w:t>万元。学校对经费严格财经纪律，对经费的使用制定了《经费使用管理细则》《专项资金使用管理细则》《职业教育建设项目校内评审办法（试行）》《职业教育项目建设经费使用实施细则（试行）》等制度，并对项目资金进行专账管理，切实做到专款专用。</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 xml:space="preserve">表6-1  </w:t>
      </w:r>
      <w:r>
        <w:rPr>
          <w:rFonts w:hint="eastAsia" w:ascii="宋体" w:hAnsi="宋体" w:cs="宋体"/>
          <w:b/>
          <w:bCs/>
          <w:color w:val="auto"/>
          <w:sz w:val="24"/>
        </w:rPr>
        <w:t xml:space="preserve"> 2018年经费统计一览表        </w:t>
      </w:r>
      <w:r>
        <w:rPr>
          <w:rFonts w:hint="eastAsia" w:ascii="宋体" w:hAnsi="宋体" w:cs="宋体"/>
          <w:color w:val="auto"/>
          <w:sz w:val="24"/>
        </w:rPr>
        <w:t>（单位：万元）</w:t>
      </w:r>
    </w:p>
    <w:tbl>
      <w:tblPr>
        <w:tblStyle w:val="1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4287"/>
        <w:gridCol w:w="89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4"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类别</w:t>
            </w:r>
          </w:p>
        </w:tc>
        <w:tc>
          <w:tcPr>
            <w:tcW w:w="4287"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经费类型</w:t>
            </w:r>
          </w:p>
        </w:tc>
        <w:tc>
          <w:tcPr>
            <w:tcW w:w="893"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金额</w:t>
            </w:r>
          </w:p>
        </w:tc>
        <w:tc>
          <w:tcPr>
            <w:tcW w:w="1246"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4" w:type="dxa"/>
            <w:vMerge w:val="restart"/>
            <w:noWrap w:val="0"/>
            <w:vAlign w:val="center"/>
          </w:tcPr>
          <w:p>
            <w:pPr>
              <w:jc w:val="center"/>
              <w:rPr>
                <w:rFonts w:hint="eastAsia" w:ascii="宋体" w:hAnsi="宋体" w:cs="宋体"/>
                <w:bCs/>
                <w:color w:val="auto"/>
                <w:szCs w:val="21"/>
              </w:rPr>
            </w:pPr>
            <w:r>
              <w:rPr>
                <w:rFonts w:hint="eastAsia" w:ascii="宋体" w:hAnsi="宋体" w:cs="宋体"/>
                <w:bCs/>
                <w:color w:val="auto"/>
                <w:szCs w:val="21"/>
              </w:rPr>
              <w:t>政策性经费</w:t>
            </w:r>
          </w:p>
        </w:tc>
        <w:tc>
          <w:tcPr>
            <w:tcW w:w="4287" w:type="dxa"/>
            <w:noWrap w:val="0"/>
            <w:vAlign w:val="center"/>
          </w:tcPr>
          <w:p>
            <w:pPr>
              <w:jc w:val="center"/>
              <w:rPr>
                <w:rFonts w:hint="eastAsia" w:ascii="宋体" w:hAnsi="宋体" w:cs="宋体"/>
                <w:color w:val="auto"/>
                <w:szCs w:val="21"/>
              </w:rPr>
            </w:pPr>
            <w:r>
              <w:rPr>
                <w:rFonts w:hint="eastAsia" w:ascii="宋体" w:hAnsi="宋体" w:cs="宋体"/>
                <w:color w:val="auto"/>
                <w:szCs w:val="21"/>
              </w:rPr>
              <w:t>免学费</w:t>
            </w:r>
          </w:p>
        </w:tc>
        <w:tc>
          <w:tcPr>
            <w:tcW w:w="893"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646.26</w:t>
            </w:r>
          </w:p>
        </w:tc>
        <w:tc>
          <w:tcPr>
            <w:tcW w:w="1246" w:type="dxa"/>
            <w:vMerge w:val="restar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4" w:type="dxa"/>
            <w:vMerge w:val="continue"/>
            <w:noWrap w:val="0"/>
            <w:vAlign w:val="center"/>
          </w:tcPr>
          <w:p>
            <w:pPr>
              <w:jc w:val="center"/>
              <w:rPr>
                <w:rFonts w:hint="eastAsia" w:ascii="宋体" w:hAnsi="宋体" w:cs="宋体"/>
                <w:bCs/>
                <w:color w:val="auto"/>
                <w:szCs w:val="21"/>
              </w:rPr>
            </w:pPr>
          </w:p>
        </w:tc>
        <w:tc>
          <w:tcPr>
            <w:tcW w:w="4287" w:type="dxa"/>
            <w:noWrap w:val="0"/>
            <w:vAlign w:val="center"/>
          </w:tcPr>
          <w:p>
            <w:pPr>
              <w:jc w:val="center"/>
              <w:rPr>
                <w:rFonts w:hint="eastAsia" w:ascii="宋体" w:hAnsi="宋体" w:cs="宋体"/>
                <w:color w:val="auto"/>
                <w:szCs w:val="21"/>
              </w:rPr>
            </w:pPr>
            <w:r>
              <w:rPr>
                <w:rFonts w:hint="eastAsia" w:ascii="宋体" w:hAnsi="宋体" w:cs="宋体"/>
                <w:color w:val="auto"/>
                <w:szCs w:val="21"/>
              </w:rPr>
              <w:t>奖学金</w:t>
            </w:r>
          </w:p>
        </w:tc>
        <w:tc>
          <w:tcPr>
            <w:tcW w:w="893"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15.2</w:t>
            </w:r>
          </w:p>
        </w:tc>
        <w:tc>
          <w:tcPr>
            <w:tcW w:w="1246" w:type="dxa"/>
            <w:vMerge w:val="continue"/>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4" w:type="dxa"/>
            <w:vMerge w:val="continue"/>
            <w:noWrap w:val="0"/>
            <w:vAlign w:val="center"/>
          </w:tcPr>
          <w:p>
            <w:pPr>
              <w:jc w:val="center"/>
              <w:rPr>
                <w:rFonts w:hint="eastAsia" w:ascii="宋体" w:hAnsi="宋体" w:cs="宋体"/>
                <w:bCs/>
                <w:color w:val="auto"/>
                <w:szCs w:val="21"/>
              </w:rPr>
            </w:pPr>
          </w:p>
        </w:tc>
        <w:tc>
          <w:tcPr>
            <w:tcW w:w="4287" w:type="dxa"/>
            <w:noWrap w:val="0"/>
            <w:vAlign w:val="center"/>
          </w:tcPr>
          <w:p>
            <w:pPr>
              <w:jc w:val="center"/>
              <w:rPr>
                <w:rFonts w:hint="eastAsia" w:ascii="宋体" w:hAnsi="宋体" w:cs="宋体"/>
                <w:color w:val="auto"/>
                <w:szCs w:val="21"/>
              </w:rPr>
            </w:pPr>
            <w:r>
              <w:rPr>
                <w:rFonts w:hint="eastAsia" w:ascii="宋体" w:hAnsi="宋体" w:cs="宋体"/>
                <w:color w:val="auto"/>
                <w:szCs w:val="21"/>
              </w:rPr>
              <w:t>助学金</w:t>
            </w:r>
          </w:p>
        </w:tc>
        <w:tc>
          <w:tcPr>
            <w:tcW w:w="893" w:type="dxa"/>
            <w:noWrap w:val="0"/>
            <w:vAlign w:val="center"/>
          </w:tcPr>
          <w:p>
            <w:pPr>
              <w:jc w:val="center"/>
              <w:rPr>
                <w:rFonts w:hint="eastAsia" w:ascii="宋体" w:hAnsi="宋体" w:cs="宋体"/>
                <w:color w:val="auto"/>
                <w:szCs w:val="21"/>
              </w:rPr>
            </w:pPr>
          </w:p>
        </w:tc>
        <w:tc>
          <w:tcPr>
            <w:tcW w:w="1246" w:type="dxa"/>
            <w:vMerge w:val="continue"/>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4"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生均拨款</w:t>
            </w:r>
          </w:p>
        </w:tc>
        <w:tc>
          <w:tcPr>
            <w:tcW w:w="4287" w:type="dxa"/>
            <w:noWrap w:val="0"/>
            <w:vAlign w:val="center"/>
          </w:tcPr>
          <w:p>
            <w:pPr>
              <w:jc w:val="center"/>
              <w:rPr>
                <w:rFonts w:hint="eastAsia" w:ascii="宋体" w:hAnsi="宋体" w:cs="宋体"/>
                <w:color w:val="auto"/>
                <w:szCs w:val="21"/>
              </w:rPr>
            </w:pPr>
            <w:r>
              <w:rPr>
                <w:rFonts w:hint="eastAsia" w:ascii="宋体" w:hAnsi="宋体" w:cs="宋体"/>
                <w:color w:val="auto"/>
                <w:szCs w:val="21"/>
              </w:rPr>
              <w:t>生均拨款经费</w:t>
            </w:r>
          </w:p>
        </w:tc>
        <w:tc>
          <w:tcPr>
            <w:tcW w:w="893"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180.72</w:t>
            </w:r>
          </w:p>
        </w:tc>
        <w:tc>
          <w:tcPr>
            <w:tcW w:w="1246"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4" w:type="dxa"/>
            <w:vMerge w:val="restart"/>
            <w:noWrap w:val="0"/>
            <w:vAlign w:val="center"/>
          </w:tcPr>
          <w:p>
            <w:pPr>
              <w:jc w:val="center"/>
              <w:rPr>
                <w:rFonts w:hint="eastAsia" w:ascii="宋体" w:hAnsi="宋体" w:cs="宋体"/>
                <w:bCs/>
                <w:color w:val="auto"/>
                <w:szCs w:val="21"/>
              </w:rPr>
            </w:pPr>
            <w:r>
              <w:rPr>
                <w:rFonts w:hint="eastAsia" w:ascii="宋体" w:hAnsi="宋体" w:cs="宋体"/>
                <w:bCs/>
                <w:color w:val="auto"/>
                <w:szCs w:val="21"/>
              </w:rPr>
              <w:t>项目投入</w:t>
            </w:r>
          </w:p>
        </w:tc>
        <w:tc>
          <w:tcPr>
            <w:tcW w:w="4287" w:type="dxa"/>
            <w:noWrap w:val="0"/>
            <w:vAlign w:val="center"/>
          </w:tcPr>
          <w:p>
            <w:pPr>
              <w:widowControl/>
              <w:jc w:val="center"/>
              <w:rPr>
                <w:color w:val="auto"/>
                <w:kern w:val="0"/>
                <w:sz w:val="24"/>
              </w:rPr>
            </w:pPr>
            <w:r>
              <w:rPr>
                <w:rFonts w:hint="eastAsia"/>
                <w:color w:val="auto"/>
              </w:rPr>
              <w:t>电梯实训中心</w:t>
            </w:r>
            <w:r>
              <w:rPr>
                <w:rFonts w:hint="eastAsia" w:ascii="Times New Roman" w:eastAsia="宋体"/>
                <w:color w:val="auto"/>
                <w:lang w:val="en-US" w:eastAsia="zh-CN"/>
              </w:rPr>
              <w:t>294</w:t>
            </w:r>
            <w:r>
              <w:rPr>
                <w:rFonts w:hint="eastAsia"/>
                <w:color w:val="auto"/>
              </w:rPr>
              <w:t>万元，新能源实训中心</w:t>
            </w:r>
            <w:r>
              <w:rPr>
                <w:rFonts w:hint="eastAsia" w:ascii="Times New Roman" w:eastAsia="宋体"/>
                <w:color w:val="auto"/>
                <w:lang w:val="en-US" w:eastAsia="zh-CN"/>
              </w:rPr>
              <w:t>1</w:t>
            </w:r>
            <w:r>
              <w:rPr>
                <w:rFonts w:hint="eastAsia"/>
                <w:color w:val="auto"/>
              </w:rPr>
              <w:t>00万元，船舶二期</w:t>
            </w:r>
            <w:r>
              <w:rPr>
                <w:rFonts w:hint="eastAsia" w:ascii="Times New Roman" w:eastAsia="宋体"/>
                <w:color w:val="auto"/>
                <w:lang w:val="en-US" w:eastAsia="zh-CN"/>
              </w:rPr>
              <w:t>182万元，</w:t>
            </w:r>
            <w:r>
              <w:rPr>
                <w:rFonts w:hint="eastAsia"/>
                <w:color w:val="auto"/>
              </w:rPr>
              <w:t>国际邮轮乘务</w:t>
            </w:r>
            <w:r>
              <w:rPr>
                <w:rFonts w:hint="eastAsia" w:ascii="Times New Roman" w:eastAsia="宋体"/>
                <w:color w:val="auto"/>
                <w:lang w:val="en-US" w:eastAsia="zh-CN"/>
              </w:rPr>
              <w:t>9</w:t>
            </w:r>
            <w:r>
              <w:rPr>
                <w:rFonts w:hint="eastAsia"/>
                <w:color w:val="auto"/>
              </w:rPr>
              <w:t>0万元。</w:t>
            </w:r>
          </w:p>
          <w:p>
            <w:pPr>
              <w:jc w:val="center"/>
              <w:rPr>
                <w:rFonts w:hint="eastAsia" w:ascii="宋体" w:hAnsi="宋体" w:cs="宋体"/>
                <w:color w:val="auto"/>
                <w:szCs w:val="21"/>
              </w:rPr>
            </w:pPr>
          </w:p>
        </w:tc>
        <w:tc>
          <w:tcPr>
            <w:tcW w:w="893"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666</w:t>
            </w:r>
          </w:p>
        </w:tc>
        <w:tc>
          <w:tcPr>
            <w:tcW w:w="1246" w:type="dxa"/>
            <w:vMerge w:val="restar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4" w:type="dxa"/>
            <w:vMerge w:val="continue"/>
            <w:noWrap w:val="0"/>
            <w:vAlign w:val="center"/>
          </w:tcPr>
          <w:p>
            <w:pPr>
              <w:jc w:val="center"/>
              <w:rPr>
                <w:rFonts w:hint="eastAsia" w:ascii="宋体" w:hAnsi="宋体" w:cs="宋体"/>
                <w:color w:val="auto"/>
                <w:szCs w:val="21"/>
              </w:rPr>
            </w:pPr>
          </w:p>
        </w:tc>
        <w:tc>
          <w:tcPr>
            <w:tcW w:w="4287" w:type="dxa"/>
            <w:noWrap w:val="0"/>
            <w:vAlign w:val="center"/>
          </w:tcPr>
          <w:p>
            <w:pPr>
              <w:widowControl/>
              <w:jc w:val="center"/>
              <w:rPr>
                <w:color w:val="auto"/>
                <w:kern w:val="0"/>
                <w:sz w:val="24"/>
              </w:rPr>
            </w:pPr>
            <w:r>
              <w:rPr>
                <w:rFonts w:hint="eastAsia"/>
                <w:color w:val="auto"/>
              </w:rPr>
              <w:t>中职职业教育办学条件达建设标经费</w:t>
            </w:r>
          </w:p>
          <w:p>
            <w:pPr>
              <w:jc w:val="center"/>
              <w:rPr>
                <w:rFonts w:hint="eastAsia" w:ascii="宋体" w:hAnsi="宋体" w:cs="宋体"/>
                <w:color w:val="auto"/>
                <w:szCs w:val="21"/>
              </w:rPr>
            </w:pPr>
          </w:p>
        </w:tc>
        <w:tc>
          <w:tcPr>
            <w:tcW w:w="893" w:type="dxa"/>
            <w:noWrap w:val="0"/>
            <w:vAlign w:val="center"/>
          </w:tcPr>
          <w:p>
            <w:pPr>
              <w:jc w:val="center"/>
              <w:rPr>
                <w:rFonts w:hint="eastAsia" w:ascii="宋体" w:hAnsi="宋体" w:cs="宋体"/>
                <w:color w:val="auto"/>
                <w:szCs w:val="21"/>
              </w:rPr>
            </w:pPr>
            <w:r>
              <w:rPr>
                <w:rFonts w:hint="eastAsia" w:ascii="宋体" w:hAnsi="宋体" w:cs="宋体"/>
                <w:color w:val="auto"/>
                <w:szCs w:val="21"/>
              </w:rPr>
              <w:t>600</w:t>
            </w:r>
          </w:p>
        </w:tc>
        <w:tc>
          <w:tcPr>
            <w:tcW w:w="1246" w:type="dxa"/>
            <w:vMerge w:val="continue"/>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34" w:type="dxa"/>
            <w:gridSpan w:val="3"/>
            <w:noWrap w:val="0"/>
            <w:vAlign w:val="center"/>
          </w:tcPr>
          <w:p>
            <w:pPr>
              <w:jc w:val="center"/>
              <w:rPr>
                <w:rFonts w:hint="eastAsia" w:ascii="宋体" w:hAnsi="宋体" w:cs="宋体"/>
                <w:bCs/>
                <w:color w:val="auto"/>
                <w:szCs w:val="21"/>
              </w:rPr>
            </w:pPr>
            <w:r>
              <w:rPr>
                <w:rFonts w:hint="eastAsia" w:ascii="宋体" w:hAnsi="宋体" w:cs="宋体"/>
                <w:bCs/>
                <w:color w:val="auto"/>
                <w:szCs w:val="21"/>
              </w:rPr>
              <w:t>合计</w:t>
            </w:r>
          </w:p>
        </w:tc>
        <w:tc>
          <w:tcPr>
            <w:tcW w:w="1246"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2108.18</w:t>
            </w:r>
          </w:p>
        </w:tc>
      </w:tr>
    </w:tbl>
    <w:p>
      <w:pPr>
        <w:rPr>
          <w:color w:val="FF0000"/>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color w:val="auto"/>
          <w:sz w:val="28"/>
          <w:szCs w:val="28"/>
        </w:rPr>
      </w:pPr>
      <w:r>
        <w:rPr>
          <w:rFonts w:hint="eastAsia" w:ascii="仿宋" w:hAnsi="仿宋" w:eastAsia="仿宋" w:cs="仿宋"/>
          <w:b/>
          <w:bCs/>
          <w:color w:val="auto"/>
          <w:sz w:val="28"/>
          <w:szCs w:val="28"/>
        </w:rPr>
        <w:t>6.2 政策措施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校成立于1985年4月19日，是隶属于柳州市教育局的全额拨款事业单位。自办学以来，学校依法办学、自主管理，积极落实在办学模式、招生就业，教育教学管理、干部人事管理、财务和基建项目管理等方面的权利，实现自主招生，自主推荐就业，根据实际自主实施教育教学安排，自主选任中层干部，根据实际制订聘任条件和聘任办法并实行全员竞聘上岗等等，不断构建适应时代要求的现代学校制度，推动学校稳、快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校经过多年努力，在上级部门的支持下，学校岗位总数148个，其中管理岗位4个，专业技术岗位140个，工勤岗位4个。现有在编人员136名。2019年校通过柳州市公开招聘等形式招聘教师26名（实名制编制2名，调入1名，合同制23人），同时根据《柳州市交通学校编外聘用人员纳入学校聘用人员控制数管理工作方案》，共选拔出吴祖阳等15位优秀人才、紧缺专业人才，在一定程度上缓解了专业教师师资紧缺的现象，优化了教师队伍结构，提高了教学实力，提升了教育教学力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随着柳州市汽车及周边产业的迅速发展，汽车、机械等技术人才紧缺，柳州市人民政府近几年大力推动职业教育发展，先后出台了《职业教育服务柳州新发展行动计划（2011—2013年）》、《柳州市“龙城蓝领”成长计划》等政策文件，从健全技能人才培养培训机制、完善技能人才评价选拔机制、构建技能人才使用和激励机制、完善技能人才合理流动和保障机制等方面着手，力争形成与全市经济社会发展相适应的初、中、高级技能人才比例结构格局。自治区人民政府也出台了《广西壮族自治区新时期深化职业教育攻坚五年计划》、《广西职业教育校企合作促进办法(试行)》等政策文件，给学校实现跨越式发展提供了有力保障和支持。</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7.特色创新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案例一：</w:t>
      </w:r>
      <w:r>
        <w:rPr>
          <w:rFonts w:hint="eastAsia" w:ascii="仿宋" w:hAnsi="仿宋" w:eastAsia="仿宋" w:cs="仿宋"/>
          <w:b/>
          <w:color w:val="auto"/>
          <w:sz w:val="28"/>
          <w:szCs w:val="28"/>
          <w:lang w:eastAsia="zh-CN"/>
        </w:rPr>
        <w:t>建立星级标准，打造星级质量文化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学校围绕“三年三大步，五年一跨跃”的发展目标和“德技并举，志善相彰”的办学理念，通过建立各层面的星级标准，结合学校“红黑榜”制度，打造学校星级质量管理文化。星级质量管理文化分为</w:t>
      </w:r>
      <w:r>
        <w:rPr>
          <w:rFonts w:hint="eastAsia" w:ascii="仿宋" w:hAnsi="仿宋" w:eastAsia="仿宋" w:cs="仿宋"/>
          <w:color w:val="auto"/>
          <w:sz w:val="28"/>
          <w:szCs w:val="28"/>
          <w:lang w:eastAsia="zh-CN"/>
        </w:rPr>
        <w:t>学生管理层面和教师管理层面。</w:t>
      </w:r>
      <w:r>
        <w:rPr>
          <w:rFonts w:hint="eastAsia" w:ascii="仿宋" w:hAnsi="仿宋" w:eastAsia="仿宋" w:cs="仿宋"/>
          <w:color w:val="auto"/>
          <w:sz w:val="28"/>
          <w:szCs w:val="28"/>
        </w:rPr>
        <w:t>从三星级到五星级，</w:t>
      </w:r>
      <w:r>
        <w:rPr>
          <w:rFonts w:hint="eastAsia" w:ascii="仿宋" w:hAnsi="仿宋" w:eastAsia="仿宋" w:cs="仿宋"/>
          <w:color w:val="auto"/>
          <w:sz w:val="28"/>
          <w:szCs w:val="28"/>
          <w:lang w:eastAsia="zh-CN"/>
        </w:rPr>
        <w:t>对应</w:t>
      </w:r>
      <w:r>
        <w:rPr>
          <w:rFonts w:hint="eastAsia" w:ascii="仿宋" w:hAnsi="仿宋" w:eastAsia="仿宋" w:cs="仿宋"/>
          <w:color w:val="auto"/>
          <w:sz w:val="28"/>
          <w:szCs w:val="28"/>
        </w:rPr>
        <w:t>不同的标准</w:t>
      </w:r>
      <w:r>
        <w:rPr>
          <w:rFonts w:hint="eastAsia" w:ascii="仿宋" w:hAnsi="仿宋" w:eastAsia="仿宋" w:cs="仿宋"/>
          <w:color w:val="auto"/>
          <w:sz w:val="28"/>
          <w:szCs w:val="28"/>
          <w:lang w:eastAsia="zh-CN"/>
        </w:rPr>
        <w:t>不同的星级，不同的星级对应不同的荣誉或奖励。</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图</w:t>
      </w:r>
      <w:r>
        <w:rPr>
          <w:rFonts w:hint="eastAsia" w:ascii="仿宋" w:hAnsi="仿宋" w:eastAsia="仿宋" w:cs="仿宋"/>
          <w:color w:val="auto"/>
          <w:sz w:val="24"/>
          <w:szCs w:val="24"/>
          <w:lang w:val="en-US" w:eastAsia="zh-CN"/>
        </w:rPr>
        <w:t>7-1 星级质量管理文化</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pPr>
      <w:r>
        <w:drawing>
          <wp:inline distT="0" distB="0" distL="114300" distR="114300">
            <wp:extent cx="5758815" cy="2814955"/>
            <wp:effectExtent l="0" t="0" r="13335"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758815" cy="2814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2019年，学校制定</w:t>
      </w:r>
      <w:r>
        <w:rPr>
          <w:rFonts w:hint="eastAsia" w:ascii="仿宋" w:hAnsi="仿宋" w:eastAsia="仿宋" w:cs="仿宋"/>
          <w:color w:val="auto"/>
          <w:sz w:val="28"/>
          <w:szCs w:val="28"/>
          <w:lang w:eastAsia="zh-CN"/>
        </w:rPr>
        <w:t>并</w:t>
      </w:r>
      <w:r>
        <w:rPr>
          <w:rFonts w:hint="eastAsia" w:ascii="仿宋" w:hAnsi="仿宋" w:eastAsia="仿宋" w:cs="仿宋"/>
          <w:color w:val="auto"/>
          <w:sz w:val="28"/>
          <w:szCs w:val="28"/>
        </w:rPr>
        <w:t>试行了班主任、班级、宿舍、学生的“星级评比”制度</w:t>
      </w:r>
      <w:r>
        <w:rPr>
          <w:rFonts w:hint="eastAsia" w:ascii="仿宋" w:hAnsi="仿宋" w:eastAsia="仿宋" w:cs="仿宋"/>
          <w:color w:val="auto"/>
          <w:sz w:val="28"/>
          <w:szCs w:val="28"/>
          <w:lang w:eastAsia="zh-CN"/>
        </w:rPr>
        <w:t>。值班小组、视导室、安学、团委、宿舍教官及各系部每日根据负责板块对各</w:t>
      </w:r>
      <w:r>
        <w:rPr>
          <w:rFonts w:hint="eastAsia" w:ascii="仿宋" w:hAnsi="仿宋" w:eastAsia="仿宋" w:cs="仿宋"/>
          <w:color w:val="auto"/>
          <w:sz w:val="28"/>
          <w:szCs w:val="28"/>
        </w:rPr>
        <w:t>班级、宿舍、学生</w:t>
      </w:r>
      <w:r>
        <w:rPr>
          <w:rFonts w:hint="eastAsia" w:ascii="仿宋" w:hAnsi="仿宋" w:eastAsia="仿宋" w:cs="仿宋"/>
          <w:color w:val="auto"/>
          <w:sz w:val="28"/>
          <w:szCs w:val="28"/>
          <w:lang w:eastAsia="zh-CN"/>
        </w:rPr>
        <w:t>进行打分，每周进行统计并于每周一校会公布红黑榜上班情况。系部每月根据红黑榜情况，评出系部级的星级班级、星级宿舍和星级学生，星级班主任由系部根据所带班级的总体情况进行评选确定。校级星级评比每月年进行一次。对于评选出的星级个人和单位，学校开展隆重的“授星仪式”，通过仪式，提高学生的自我肯定和自我认同感，进而明确努力道路与方向。</w:t>
      </w:r>
      <w:r>
        <w:rPr>
          <w:rFonts w:hint="eastAsia" w:ascii="仿宋" w:hAnsi="仿宋" w:eastAsia="仿宋" w:cs="仿宋"/>
          <w:color w:val="auto"/>
          <w:sz w:val="28"/>
          <w:szCs w:val="28"/>
          <w:lang w:val="en-US" w:eastAsia="zh-CN"/>
        </w:rPr>
        <w:t>2020年学校将继续推进星级文化建设，制定并实施星级教师标准、星级党支部、团支部等，让星级质量管理文化成为学校的一项特色与亮点。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过一年改革努力效果凸显。学生越来越有礼貌，教室和宿舍越来越干净，晚归的学生越来越少，学生对学校的满意度越来越高。特别是在自治区的教学诊断与改进活动中受到教育厅专家组的一致好评：认为学校在学生层面的诊改效果明显，学生目标明确，获得感比较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案例</w:t>
      </w:r>
      <w:r>
        <w:rPr>
          <w:rFonts w:hint="eastAsia" w:ascii="仿宋" w:hAnsi="仿宋" w:eastAsia="仿宋" w:cs="仿宋"/>
          <w:b/>
          <w:color w:val="auto"/>
          <w:sz w:val="28"/>
          <w:szCs w:val="28"/>
          <w:lang w:eastAsia="zh-CN"/>
        </w:rPr>
        <w:t>二：学校率先在区启动劳动和职业启蒙改革，让贫困的孩子“自主选择未来”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default" w:ascii="仿宋" w:hAnsi="仿宋" w:eastAsia="仿宋" w:cs="仿宋"/>
          <w:color w:val="auto"/>
          <w:sz w:val="28"/>
          <w:szCs w:val="28"/>
          <w:lang w:eastAsia="zh-CN"/>
        </w:rPr>
      </w:pPr>
      <w:r>
        <w:rPr>
          <w:rFonts w:hint="eastAsia" w:ascii="仿宋" w:hAnsi="仿宋" w:eastAsia="仿宋" w:cs="仿宋"/>
          <w:color w:val="auto"/>
          <w:sz w:val="28"/>
          <w:szCs w:val="28"/>
        </w:rPr>
        <w:t>学校根据《国务院关于印发国家职业教育改革实施方案的通知》精神，2019年3月与融水教育局联合启动劳动和职业启蒙教育改革实验，共同打开控辍保学新局面，成立融水职业教育启蒙班。融水教育局分两批次送来260名初三下学期学习确有困难，无心就读普通高中的学生260人，采取“多种体验、多次尝试、自主选择”的方式让孩子们充分自由、自主地了解和学习，并最终确定自己未来的专业。学校配备最优秀的班主任、最优秀的任课老师，给孩子们了解专业，同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为了找回孩子学习乐趣，组建“笙声交校”文化社团，将苗乡文化引入校园，让在校的540名融水学生和310名三江学生“记得住乡愁”，在学校找到家乡的味道。启蒙班260名</w:t>
      </w:r>
      <w:r>
        <w:rPr>
          <w:rFonts w:hint="default" w:ascii="仿宋" w:hAnsi="仿宋" w:eastAsia="仿宋" w:cs="仿宋"/>
          <w:color w:val="auto"/>
          <w:sz w:val="28"/>
          <w:szCs w:val="28"/>
        </w:rPr>
        <w:t>学生</w:t>
      </w:r>
      <w:r>
        <w:rPr>
          <w:rFonts w:hint="eastAsia" w:ascii="仿宋" w:hAnsi="仿宋" w:eastAsia="仿宋" w:cs="仿宋"/>
          <w:color w:val="auto"/>
          <w:sz w:val="28"/>
          <w:szCs w:val="28"/>
        </w:rPr>
        <w:t>通过参加改革试验，最后留下176名，占到67.7%。</w:t>
      </w:r>
      <w:r>
        <w:rPr>
          <w:rFonts w:hint="eastAsia" w:ascii="仿宋" w:hAnsi="仿宋" w:eastAsia="仿宋" w:cs="仿宋"/>
          <w:color w:val="auto"/>
          <w:sz w:val="28"/>
          <w:szCs w:val="28"/>
          <w:lang w:eastAsia="zh-CN"/>
        </w:rPr>
        <w:t>其中，有</w:t>
      </w:r>
      <w:r>
        <w:rPr>
          <w:rFonts w:hint="eastAsia" w:ascii="仿宋" w:hAnsi="仿宋" w:eastAsia="仿宋" w:cs="仿宋"/>
          <w:color w:val="auto"/>
          <w:sz w:val="28"/>
          <w:szCs w:val="28"/>
          <w:lang w:val="en-US" w:eastAsia="zh-CN"/>
        </w:rPr>
        <w:t>28名</w:t>
      </w:r>
      <w:r>
        <w:rPr>
          <w:rFonts w:hint="default" w:ascii="仿宋" w:hAnsi="仿宋" w:eastAsia="仿宋" w:cs="仿宋"/>
          <w:color w:val="auto"/>
          <w:sz w:val="28"/>
          <w:szCs w:val="28"/>
          <w:lang w:eastAsia="zh-CN"/>
        </w:rPr>
        <w:t>学生</w:t>
      </w:r>
      <w:r>
        <w:rPr>
          <w:rFonts w:hint="eastAsia" w:ascii="仿宋" w:hAnsi="仿宋" w:eastAsia="仿宋" w:cs="仿宋"/>
          <w:color w:val="auto"/>
          <w:sz w:val="28"/>
          <w:szCs w:val="28"/>
          <w:lang w:val="en-US" w:eastAsia="zh-CN"/>
        </w:rPr>
        <w:t>选择了就读我校的国际邮轮乘务专业</w:t>
      </w:r>
      <w:r>
        <w:rPr>
          <w:rFonts w:hint="default"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w:t>
      </w:r>
      <w:r>
        <w:rPr>
          <w:rFonts w:hint="eastAsia" w:ascii="仿宋" w:hAnsi="仿宋" w:eastAsia="仿宋" w:cs="仿宋"/>
          <w:color w:val="auto"/>
          <w:sz w:val="28"/>
          <w:szCs w:val="28"/>
          <w:lang w:eastAsia="zh-CN"/>
        </w:rPr>
        <w:t>学校打造</w:t>
      </w:r>
      <w:r>
        <w:rPr>
          <w:rFonts w:hint="eastAsia" w:ascii="仿宋" w:hAnsi="仿宋" w:eastAsia="仿宋" w:cs="仿宋"/>
          <w:color w:val="auto"/>
          <w:sz w:val="28"/>
          <w:szCs w:val="28"/>
        </w:rPr>
        <w:t>“志善”班级文化</w:t>
      </w:r>
      <w:r>
        <w:rPr>
          <w:rFonts w:hint="eastAsia" w:ascii="仿宋" w:hAnsi="仿宋" w:eastAsia="仿宋" w:cs="仿宋"/>
          <w:color w:val="auto"/>
          <w:sz w:val="28"/>
          <w:szCs w:val="28"/>
          <w:lang w:eastAsia="zh-CN"/>
        </w:rPr>
        <w:t>的目标</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这个以融水苗族学生为主体的班级，通过班级自主申请，学校评审批准后，创建了“苗乡志远班”特色文化班级，获得</w:t>
      </w:r>
      <w:r>
        <w:rPr>
          <w:rFonts w:hint="eastAsia" w:ascii="仿宋" w:hAnsi="仿宋" w:eastAsia="仿宋" w:cs="仿宋"/>
          <w:color w:val="auto"/>
          <w:sz w:val="28"/>
          <w:szCs w:val="28"/>
          <w:lang w:val="en-US" w:eastAsia="zh-CN"/>
        </w:rPr>
        <w:t>2000元的特色班级启动基金，确定了班级发展总目标，建设内容，班级文化口号、班歌以及教室文化布置等内容。2020年1月9日，为辞旧迎新，增添节日气氛，弘扬文化特色。国际邮轮乘务“苗乡志远班”的</w:t>
      </w:r>
      <w:r>
        <w:rPr>
          <w:rFonts w:hint="default" w:ascii="仿宋" w:hAnsi="仿宋" w:eastAsia="仿宋" w:cs="仿宋"/>
          <w:color w:val="auto"/>
          <w:sz w:val="28"/>
          <w:szCs w:val="28"/>
          <w:lang w:eastAsia="zh-CN"/>
        </w:rPr>
        <w:t>学生</w:t>
      </w:r>
      <w:r>
        <w:rPr>
          <w:rFonts w:hint="eastAsia" w:ascii="仿宋" w:hAnsi="仿宋" w:eastAsia="仿宋" w:cs="仿宋"/>
          <w:color w:val="auto"/>
          <w:sz w:val="28"/>
          <w:szCs w:val="28"/>
          <w:lang w:val="en-US" w:eastAsia="zh-CN"/>
        </w:rPr>
        <w:t>们在班主任的带领下，着民族节日盛装开展了以“家乡美”为主题的民俗风情“过苗年”系列迎新活动。让这些心怀远洋的</w:t>
      </w:r>
      <w:r>
        <w:rPr>
          <w:rFonts w:hint="default" w:ascii="仿宋" w:hAnsi="仿宋" w:eastAsia="仿宋" w:cs="仿宋"/>
          <w:color w:val="auto"/>
          <w:sz w:val="28"/>
          <w:szCs w:val="28"/>
          <w:lang w:eastAsia="zh-CN"/>
        </w:rPr>
        <w:t>学生</w:t>
      </w:r>
      <w:r>
        <w:rPr>
          <w:rFonts w:hint="eastAsia" w:ascii="仿宋" w:hAnsi="仿宋" w:eastAsia="仿宋" w:cs="仿宋"/>
          <w:color w:val="auto"/>
          <w:sz w:val="28"/>
          <w:szCs w:val="28"/>
          <w:lang w:val="en-US" w:eastAsia="zh-CN"/>
        </w:rPr>
        <w:t>们，记住“乡情”，并带着“乡情”开启2020年的旅程。</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2807970" cy="2106295"/>
            <wp:effectExtent l="0" t="0" r="11430" b="8255"/>
            <wp:docPr id="7" name="图片 7" descr="mmexport157853425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mexport1578534250545"/>
                    <pic:cNvPicPr>
                      <a:picLocks noChangeAspect="1"/>
                    </pic:cNvPicPr>
                  </pic:nvPicPr>
                  <pic:blipFill>
                    <a:blip r:embed="rId11"/>
                    <a:stretch>
                      <a:fillRect/>
                    </a:stretch>
                  </pic:blipFill>
                  <pic:spPr>
                    <a:xfrm>
                      <a:off x="0" y="0"/>
                      <a:ext cx="2807970" cy="2106295"/>
                    </a:xfrm>
                    <a:prstGeom prst="rect">
                      <a:avLst/>
                    </a:prstGeom>
                  </pic:spPr>
                </pic:pic>
              </a:graphicData>
            </a:graphic>
          </wp:inline>
        </w:drawing>
      </w:r>
      <w:r>
        <w:rPr>
          <w:rFonts w:hint="eastAsia" w:ascii="仿宋" w:hAnsi="仿宋" w:eastAsia="仿宋" w:cs="仿宋"/>
          <w:color w:val="auto"/>
          <w:sz w:val="28"/>
          <w:szCs w:val="28"/>
          <w:lang w:val="en-US" w:eastAsia="zh-CN"/>
        </w:rPr>
        <w:drawing>
          <wp:inline distT="0" distB="0" distL="114300" distR="114300">
            <wp:extent cx="2814320" cy="2110740"/>
            <wp:effectExtent l="0" t="0" r="5080" b="3810"/>
            <wp:docPr id="9" name="图片 9" descr="mmexport157853423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578534233827"/>
                    <pic:cNvPicPr>
                      <a:picLocks noChangeAspect="1"/>
                    </pic:cNvPicPr>
                  </pic:nvPicPr>
                  <pic:blipFill>
                    <a:blip r:embed="rId12"/>
                    <a:stretch>
                      <a:fillRect/>
                    </a:stretch>
                  </pic:blipFill>
                  <pic:spPr>
                    <a:xfrm>
                      <a:off x="0" y="0"/>
                      <a:ext cx="2814320" cy="21107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学校特色文化班级“苗乡志远班”和“军事志强班”授牌仪式现场</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2794635" cy="2096135"/>
            <wp:effectExtent l="0" t="0" r="5715" b="18415"/>
            <wp:docPr id="13" name="图片 13" descr="mmexport157915100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79151005648"/>
                    <pic:cNvPicPr>
                      <a:picLocks noChangeAspect="1"/>
                    </pic:cNvPicPr>
                  </pic:nvPicPr>
                  <pic:blipFill>
                    <a:blip r:embed="rId13"/>
                    <a:stretch>
                      <a:fillRect/>
                    </a:stretch>
                  </pic:blipFill>
                  <pic:spPr>
                    <a:xfrm>
                      <a:off x="0" y="0"/>
                      <a:ext cx="2794635" cy="2096135"/>
                    </a:xfrm>
                    <a:prstGeom prst="rect">
                      <a:avLst/>
                    </a:prstGeom>
                  </pic:spPr>
                </pic:pic>
              </a:graphicData>
            </a:graphic>
          </wp:inline>
        </w:drawing>
      </w:r>
      <w:r>
        <w:rPr>
          <w:rFonts w:hint="eastAsia" w:ascii="仿宋" w:hAnsi="仿宋" w:eastAsia="仿宋" w:cs="仿宋"/>
          <w:color w:val="auto"/>
          <w:sz w:val="28"/>
          <w:szCs w:val="28"/>
          <w:lang w:val="en-US" w:eastAsia="zh-CN"/>
        </w:rPr>
        <w:drawing>
          <wp:inline distT="0" distB="0" distL="114300" distR="114300">
            <wp:extent cx="2806700" cy="2105660"/>
            <wp:effectExtent l="0" t="0" r="12700" b="8890"/>
            <wp:docPr id="14" name="图片 14" descr="mmexport157915098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79150980561"/>
                    <pic:cNvPicPr>
                      <a:picLocks noChangeAspect="1"/>
                    </pic:cNvPicPr>
                  </pic:nvPicPr>
                  <pic:blipFill>
                    <a:blip r:embed="rId14"/>
                    <a:stretch>
                      <a:fillRect/>
                    </a:stretch>
                  </pic:blipFill>
                  <pic:spPr>
                    <a:xfrm>
                      <a:off x="0" y="0"/>
                      <a:ext cx="2806700" cy="21056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以“家乡美”为主题的民俗风情“过苗年”系列迎新活动现场</w:t>
      </w:r>
      <w:r>
        <w:rPr>
          <w:rFonts w:hint="eastAsia" w:ascii="仿宋" w:hAnsi="仿宋" w:eastAsia="仿宋" w:cs="仿宋"/>
          <w:color w:val="auto"/>
          <w:sz w:val="28"/>
          <w:szCs w:val="28"/>
          <w:lang w:val="en-US" w:eastAsia="zh-CN"/>
        </w:rPr>
        <w:drawing>
          <wp:inline distT="0" distB="0" distL="114300" distR="114300">
            <wp:extent cx="1867535" cy="2490470"/>
            <wp:effectExtent l="0" t="0" r="18415" b="5080"/>
            <wp:docPr id="10" name="图片 10" descr="mmexport157915096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79150965613"/>
                    <pic:cNvPicPr>
                      <a:picLocks noChangeAspect="1"/>
                    </pic:cNvPicPr>
                  </pic:nvPicPr>
                  <pic:blipFill>
                    <a:blip r:embed="rId15"/>
                    <a:stretch>
                      <a:fillRect/>
                    </a:stretch>
                  </pic:blipFill>
                  <pic:spPr>
                    <a:xfrm>
                      <a:off x="0" y="0"/>
                      <a:ext cx="1867535" cy="2490470"/>
                    </a:xfrm>
                    <a:prstGeom prst="rect">
                      <a:avLst/>
                    </a:prstGeom>
                  </pic:spPr>
                </pic:pic>
              </a:graphicData>
            </a:graphic>
          </wp:inline>
        </w:drawing>
      </w:r>
      <w:r>
        <w:rPr>
          <w:rFonts w:hint="eastAsia" w:ascii="仿宋" w:hAnsi="仿宋" w:eastAsia="仿宋" w:cs="仿宋"/>
          <w:color w:val="auto"/>
          <w:sz w:val="28"/>
          <w:szCs w:val="28"/>
          <w:lang w:val="en-US" w:eastAsia="zh-CN"/>
        </w:rPr>
        <w:drawing>
          <wp:inline distT="0" distB="0" distL="114300" distR="114300">
            <wp:extent cx="1868170" cy="2491740"/>
            <wp:effectExtent l="0" t="0" r="17780" b="3810"/>
            <wp:docPr id="11" name="图片 11" descr="mmexport157915098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79150983615"/>
                    <pic:cNvPicPr>
                      <a:picLocks noChangeAspect="1"/>
                    </pic:cNvPicPr>
                  </pic:nvPicPr>
                  <pic:blipFill>
                    <a:blip r:embed="rId16"/>
                    <a:stretch>
                      <a:fillRect/>
                    </a:stretch>
                  </pic:blipFill>
                  <pic:spPr>
                    <a:xfrm>
                      <a:off x="0" y="0"/>
                      <a:ext cx="1868170" cy="2491740"/>
                    </a:xfrm>
                    <a:prstGeom prst="rect">
                      <a:avLst/>
                    </a:prstGeom>
                  </pic:spPr>
                </pic:pic>
              </a:graphicData>
            </a:graphic>
          </wp:inline>
        </w:drawing>
      </w:r>
      <w:r>
        <w:rPr>
          <w:rFonts w:hint="eastAsia" w:ascii="仿宋" w:hAnsi="仿宋" w:eastAsia="仿宋" w:cs="仿宋"/>
          <w:color w:val="auto"/>
          <w:sz w:val="28"/>
          <w:szCs w:val="28"/>
          <w:lang w:val="en-US" w:eastAsia="zh-CN"/>
        </w:rPr>
        <w:drawing>
          <wp:inline distT="0" distB="0" distL="114300" distR="114300">
            <wp:extent cx="1887220" cy="2517140"/>
            <wp:effectExtent l="0" t="0" r="17780" b="16510"/>
            <wp:docPr id="12" name="图片 12" descr="mmexport157915096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79150962755"/>
                    <pic:cNvPicPr>
                      <a:picLocks noChangeAspect="1"/>
                    </pic:cNvPicPr>
                  </pic:nvPicPr>
                  <pic:blipFill>
                    <a:blip r:embed="rId17"/>
                    <a:stretch>
                      <a:fillRect/>
                    </a:stretch>
                  </pic:blipFill>
                  <pic:spPr>
                    <a:xfrm>
                      <a:off x="0" y="0"/>
                      <a:ext cx="1887220" cy="2517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以“家乡美”为主题的民俗风情“过苗年”系列迎新活动现场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8.主要问题和改进措施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8.1 主要问题</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8.1.1 办学硬件严重不足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学校现有5栋宿舍楼，共计284间宿舍，2800个床位。学校2019级住宿生为1500人，2020年2018级学生顶岗实习后，预计可空出宿舍125间，能容纳1200名住宿生。按照2020年学校1500-2000人的招生计划，至少还需要300-600个床位(去除10%走读生)才能够满足学校招生需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学校现有教室68间，能容纳40-50人的标准教室仅有49间，为满足教学需求，今年通过改造行政办公楼、培训教室等新增了19间不规整的小教室（30-40人/间），制约了教学工作展开。2020年，2018级学生顶岗实习后预计可空出16间标准教室和10间不规整小教室，最大能容纳1000人，尚缺10间标准教室方能满足教育局下达的1500人招生任务需求。如按学校发展目标2000人计算，缺23间标准教室。</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Cs/>
          <w:color w:val="auto"/>
          <w:sz w:val="28"/>
          <w:szCs w:val="28"/>
        </w:rPr>
      </w:pPr>
      <w:r>
        <w:rPr>
          <w:rFonts w:hint="eastAsia" w:ascii="仿宋" w:hAnsi="仿宋" w:eastAsia="仿宋" w:cs="仿宋"/>
          <w:b/>
          <w:bCs/>
          <w:color w:val="auto"/>
          <w:sz w:val="28"/>
          <w:szCs w:val="28"/>
        </w:rPr>
        <w:t>8.1.2 专业师资不足，教学任务繁重。</w:t>
      </w:r>
      <w:r>
        <w:rPr>
          <w:rFonts w:hint="eastAsia" w:ascii="仿宋" w:hAnsi="仿宋" w:eastAsia="仿宋" w:cs="仿宋"/>
          <w:bCs/>
          <w:color w:val="auto"/>
          <w:sz w:val="28"/>
          <w:szCs w:val="28"/>
        </w:rPr>
        <w:t>很少有汽车专业的大学毕业生愿意到中职任教，学校很难招聘到合适的专业教师，专业教师短缺，占学校</w:t>
      </w:r>
      <w:r>
        <w:rPr>
          <w:rFonts w:hint="eastAsia" w:ascii="仿宋" w:hAnsi="仿宋" w:eastAsia="仿宋" w:cs="仿宋"/>
          <w:color w:val="auto"/>
          <w:sz w:val="28"/>
          <w:szCs w:val="28"/>
        </w:rPr>
        <w:t>30%的合同制教职工的编制及待遇问题尚未解决，</w:t>
      </w:r>
      <w:r>
        <w:rPr>
          <w:rFonts w:hint="eastAsia" w:ascii="仿宋" w:hAnsi="仿宋" w:eastAsia="仿宋" w:cs="仿宋"/>
          <w:bCs/>
          <w:color w:val="auto"/>
          <w:sz w:val="28"/>
          <w:szCs w:val="28"/>
        </w:rPr>
        <w:t>直接影响到教师队伍的稳定性和教学质量的提升。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8.2 改进措施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8.2.1 </w:t>
      </w:r>
      <w:r>
        <w:rPr>
          <w:rFonts w:hint="eastAsia" w:ascii="仿宋" w:hAnsi="仿宋" w:eastAsia="仿宋" w:cs="仿宋"/>
          <w:b/>
          <w:bCs/>
          <w:color w:val="auto"/>
          <w:sz w:val="28"/>
          <w:szCs w:val="28"/>
          <w:lang w:eastAsia="zh-CN"/>
        </w:rPr>
        <w:t>针对硬件不足的问题，学校首先将积极</w:t>
      </w:r>
      <w:r>
        <w:rPr>
          <w:rFonts w:hint="eastAsia" w:ascii="仿宋" w:hAnsi="仿宋" w:eastAsia="仿宋" w:cs="仿宋"/>
          <w:color w:val="auto"/>
          <w:sz w:val="28"/>
          <w:szCs w:val="28"/>
        </w:rPr>
        <w:t>争取上级部门支持，加快学校改扩建工程力度，争取早日解决学校办学的硬件瓶颈问题。</w:t>
      </w:r>
      <w:r>
        <w:rPr>
          <w:rFonts w:hint="eastAsia" w:ascii="仿宋" w:hAnsi="仿宋" w:eastAsia="仿宋" w:cs="仿宋"/>
          <w:color w:val="auto"/>
          <w:sz w:val="28"/>
          <w:szCs w:val="28"/>
          <w:lang w:eastAsia="zh-CN"/>
        </w:rPr>
        <w:t>其次利用学校现有条件进行教室、宿舍改造，以满足扩大招生后学生教学住宿的基本要求。如：对学校行政楼——展望楼三四五层进行改造，约新增12间（35人）非标准教室；对图书馆二、三楼进行改造，新增6间标准教室（或改造成部门办公室）等。</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8.2.2 </w:t>
      </w:r>
      <w:r>
        <w:rPr>
          <w:rFonts w:hint="eastAsia" w:ascii="仿宋" w:hAnsi="仿宋" w:eastAsia="仿宋" w:cs="仿宋"/>
          <w:color w:val="auto"/>
          <w:sz w:val="28"/>
          <w:szCs w:val="28"/>
        </w:rPr>
        <w:t>致力改善教师的工作环境及待遇，以增强学校对专业师资的吸引力。增加专业教师，减轻过于繁重的授课量，提高专业教学质量。</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8.2.3</w:t>
      </w:r>
      <w:r>
        <w:rPr>
          <w:rFonts w:hint="eastAsia" w:ascii="仿宋" w:hAnsi="仿宋" w:eastAsia="仿宋" w:cs="仿宋"/>
          <w:color w:val="auto"/>
          <w:sz w:val="28"/>
          <w:szCs w:val="28"/>
        </w:rPr>
        <w:t>进一步加强学校内部治理，扩大招生规模，加强校企行政合作、区域合作、国际合作，提高的知名度和影响力。</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afterAutospacing="0" w:line="540" w:lineRule="exact"/>
        <w:ind w:firstLine="5320" w:firstLineChars="1900"/>
        <w:jc w:val="left"/>
        <w:textAlignment w:val="auto"/>
        <w:rPr>
          <w:rFonts w:hint="eastAsia" w:ascii="仿宋" w:hAnsi="仿宋" w:eastAsia="仿宋" w:cs="仿宋"/>
          <w:b w:val="0"/>
          <w:bCs/>
          <w:color w:val="auto"/>
          <w:kern w:val="0"/>
          <w:sz w:val="28"/>
          <w:szCs w:val="28"/>
          <w:lang w:eastAsia="zh-CN"/>
        </w:rPr>
      </w:pPr>
      <w:r>
        <w:rPr>
          <w:rFonts w:hint="eastAsia" w:ascii="仿宋" w:hAnsi="仿宋" w:eastAsia="仿宋" w:cs="仿宋"/>
          <w:b w:val="0"/>
          <w:bCs/>
          <w:color w:val="auto"/>
          <w:kern w:val="0"/>
          <w:sz w:val="28"/>
          <w:szCs w:val="28"/>
          <w:lang w:eastAsia="zh-CN"/>
        </w:rPr>
        <w:t>柳州市交通学校</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5320" w:firstLineChars="19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color w:val="auto"/>
          <w:kern w:val="0"/>
          <w:sz w:val="28"/>
          <w:szCs w:val="28"/>
          <w:lang w:val="en-US" w:eastAsia="zh-CN"/>
        </w:rPr>
        <w:t xml:space="preserve">2020年1月16日  </w:t>
      </w:r>
    </w:p>
    <w:sectPr>
      <w:footerReference r:id="rId4" w:type="first"/>
      <w:footerReference r:id="rId3" w:type="default"/>
      <w:pgSz w:w="11906" w:h="16838"/>
      <w:pgMar w:top="1134" w:right="1418" w:bottom="1134" w:left="1418" w:header="851" w:footer="567"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szCs w:val="28"/>
      </w:rPr>
    </w:pPr>
    <w:r>
      <w:rPr>
        <w:rFonts w:hint="eastAsia" w:ascii="仿宋_GB2312" w:hAnsi="仿宋_GB2312" w:eastAsia="仿宋_GB2312"/>
        <w:sz w:val="28"/>
        <w:szCs w:val="28"/>
      </w:rPr>
      <w:t>—</w:t>
    </w:r>
    <w:r>
      <w:rPr>
        <w:rFonts w:eastAsia="仿宋_GB2312"/>
        <w:sz w:val="28"/>
        <w:szCs w:val="28"/>
      </w:rPr>
      <w:fldChar w:fldCharType="begin"/>
    </w:r>
    <w:r>
      <w:rPr>
        <w:rFonts w:eastAsia="仿宋_GB2312"/>
        <w:sz w:val="28"/>
        <w:szCs w:val="28"/>
      </w:rPr>
      <w:instrText xml:space="preserve"> PAGE \* Arabic \* MERGEFORMAT </w:instrText>
    </w:r>
    <w:r>
      <w:rPr>
        <w:rFonts w:eastAsia="仿宋_GB2312"/>
        <w:sz w:val="28"/>
        <w:szCs w:val="28"/>
      </w:rPr>
      <w:fldChar w:fldCharType="separate"/>
    </w:r>
    <w:r>
      <w:rPr>
        <w:sz w:val="28"/>
        <w:szCs w:val="28"/>
      </w:rPr>
      <w:t>2</w:t>
    </w:r>
    <w:r>
      <w:rPr>
        <w:rFonts w:eastAsia="仿宋_GB2312"/>
        <w:sz w:val="28"/>
        <w:szCs w:val="28"/>
      </w:rPr>
      <w:fldChar w:fldCharType="end"/>
    </w:r>
    <w:r>
      <w:rPr>
        <w:rFonts w:hint="eastAsia" w:ascii="仿宋_GB2312" w:hAns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right"/>
    </w:pPr>
    <w:r>
      <w:rPr>
        <w:rFonts w:hint="eastAsia" w:ascii="仿宋_GB2312" w:hAnsi="仿宋_GB2312" w:eastAsia="仿宋_GB2312"/>
        <w:sz w:val="28"/>
      </w:rPr>
      <w:t>—</w:t>
    </w:r>
    <w:r>
      <w:rPr>
        <w:rFonts w:eastAsia="仿宋_GB2312"/>
        <w:sz w:val="28"/>
      </w:rPr>
      <w:fldChar w:fldCharType="begin"/>
    </w:r>
    <w:r>
      <w:rPr>
        <w:rFonts w:eastAsia="仿宋_GB2312"/>
        <w:sz w:val="28"/>
      </w:rPr>
      <w:instrText xml:space="preserve"> PAGE \* Arabic \* MERGEFORMAT </w:instrText>
    </w:r>
    <w:r>
      <w:rPr>
        <w:rFonts w:eastAsia="仿宋_GB2312"/>
        <w:sz w:val="28"/>
      </w:rPr>
      <w:fldChar w:fldCharType="separate"/>
    </w:r>
    <w:r>
      <w:rPr>
        <w:rFonts w:eastAsia="仿宋_GB2312"/>
        <w:sz w:val="28"/>
      </w:rPr>
      <w:t>1</w:t>
    </w:r>
    <w:r>
      <w:rPr>
        <w:rFonts w:eastAsia="仿宋_GB2312"/>
        <w:sz w:val="28"/>
      </w:rPr>
      <w:fldChar w:fldCharType="end"/>
    </w:r>
    <w:r>
      <w:rPr>
        <w:rFonts w:hint="eastAsia" w:ascii="仿宋_GB2312" w:hAnsi="仿宋_GB2312" w:eastAsia="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YzZmMDJkYmQwYmQxNDk3OTE2YzhmZmQ2YmFmZDQifQ=="/>
  </w:docVars>
  <w:rsids>
    <w:rsidRoot w:val="00584198"/>
    <w:rsid w:val="00001BC7"/>
    <w:rsid w:val="00002C25"/>
    <w:rsid w:val="000045D2"/>
    <w:rsid w:val="000072C2"/>
    <w:rsid w:val="00010DA1"/>
    <w:rsid w:val="00013D3D"/>
    <w:rsid w:val="00015EC9"/>
    <w:rsid w:val="00037ADD"/>
    <w:rsid w:val="000426F1"/>
    <w:rsid w:val="000437E0"/>
    <w:rsid w:val="00062AEB"/>
    <w:rsid w:val="00065116"/>
    <w:rsid w:val="00072F44"/>
    <w:rsid w:val="0008054F"/>
    <w:rsid w:val="000870DC"/>
    <w:rsid w:val="0009122E"/>
    <w:rsid w:val="00094531"/>
    <w:rsid w:val="000A5F7C"/>
    <w:rsid w:val="000A633A"/>
    <w:rsid w:val="000B02DC"/>
    <w:rsid w:val="000B2F3F"/>
    <w:rsid w:val="000B35F4"/>
    <w:rsid w:val="000C12F6"/>
    <w:rsid w:val="000D37E5"/>
    <w:rsid w:val="000E5B87"/>
    <w:rsid w:val="00107D35"/>
    <w:rsid w:val="00120D36"/>
    <w:rsid w:val="00121578"/>
    <w:rsid w:val="00121A2A"/>
    <w:rsid w:val="00121EF5"/>
    <w:rsid w:val="0012638A"/>
    <w:rsid w:val="0012654A"/>
    <w:rsid w:val="001313B4"/>
    <w:rsid w:val="00131501"/>
    <w:rsid w:val="00135DF1"/>
    <w:rsid w:val="001361FF"/>
    <w:rsid w:val="001428E0"/>
    <w:rsid w:val="00144427"/>
    <w:rsid w:val="00144510"/>
    <w:rsid w:val="00144E24"/>
    <w:rsid w:val="00157C41"/>
    <w:rsid w:val="00160A5B"/>
    <w:rsid w:val="00166C0B"/>
    <w:rsid w:val="001806EC"/>
    <w:rsid w:val="0019705E"/>
    <w:rsid w:val="00197191"/>
    <w:rsid w:val="001B0EBD"/>
    <w:rsid w:val="001C0E91"/>
    <w:rsid w:val="001C0FDC"/>
    <w:rsid w:val="001D4602"/>
    <w:rsid w:val="001E71EE"/>
    <w:rsid w:val="001F13A3"/>
    <w:rsid w:val="001F4672"/>
    <w:rsid w:val="002170DA"/>
    <w:rsid w:val="00220B97"/>
    <w:rsid w:val="00225DDB"/>
    <w:rsid w:val="00227E53"/>
    <w:rsid w:val="00245C9E"/>
    <w:rsid w:val="00253E39"/>
    <w:rsid w:val="002543D0"/>
    <w:rsid w:val="00255170"/>
    <w:rsid w:val="0025529B"/>
    <w:rsid w:val="00270BD2"/>
    <w:rsid w:val="00272D46"/>
    <w:rsid w:val="00272D83"/>
    <w:rsid w:val="00273694"/>
    <w:rsid w:val="0027444C"/>
    <w:rsid w:val="00275D98"/>
    <w:rsid w:val="00291447"/>
    <w:rsid w:val="002931F2"/>
    <w:rsid w:val="00296B58"/>
    <w:rsid w:val="002A6E5C"/>
    <w:rsid w:val="002A6F6C"/>
    <w:rsid w:val="002B64F3"/>
    <w:rsid w:val="002C1B12"/>
    <w:rsid w:val="002C3E4A"/>
    <w:rsid w:val="002C544B"/>
    <w:rsid w:val="002D487C"/>
    <w:rsid w:val="00300DEF"/>
    <w:rsid w:val="00300EFA"/>
    <w:rsid w:val="00305B46"/>
    <w:rsid w:val="003116D8"/>
    <w:rsid w:val="00322F7B"/>
    <w:rsid w:val="00350D8A"/>
    <w:rsid w:val="00353366"/>
    <w:rsid w:val="00360260"/>
    <w:rsid w:val="00366655"/>
    <w:rsid w:val="0036786B"/>
    <w:rsid w:val="0037369D"/>
    <w:rsid w:val="00382F45"/>
    <w:rsid w:val="003867D6"/>
    <w:rsid w:val="00390EBC"/>
    <w:rsid w:val="003A540D"/>
    <w:rsid w:val="003B6104"/>
    <w:rsid w:val="003C1FEC"/>
    <w:rsid w:val="003D1222"/>
    <w:rsid w:val="003D51FC"/>
    <w:rsid w:val="003E4DC2"/>
    <w:rsid w:val="003E528F"/>
    <w:rsid w:val="003F1B02"/>
    <w:rsid w:val="003F6C7F"/>
    <w:rsid w:val="004003C9"/>
    <w:rsid w:val="00400F20"/>
    <w:rsid w:val="00403529"/>
    <w:rsid w:val="0042222C"/>
    <w:rsid w:val="00422DAB"/>
    <w:rsid w:val="00430BDC"/>
    <w:rsid w:val="00441EAB"/>
    <w:rsid w:val="00442302"/>
    <w:rsid w:val="0044735E"/>
    <w:rsid w:val="00455A45"/>
    <w:rsid w:val="0045797B"/>
    <w:rsid w:val="00461130"/>
    <w:rsid w:val="004653A1"/>
    <w:rsid w:val="0047043A"/>
    <w:rsid w:val="004727DF"/>
    <w:rsid w:val="00483A98"/>
    <w:rsid w:val="00484FF6"/>
    <w:rsid w:val="00492EF9"/>
    <w:rsid w:val="00494B4D"/>
    <w:rsid w:val="004A22D0"/>
    <w:rsid w:val="004A23BB"/>
    <w:rsid w:val="004A323C"/>
    <w:rsid w:val="004A41F3"/>
    <w:rsid w:val="004A60D5"/>
    <w:rsid w:val="004A7F06"/>
    <w:rsid w:val="004B100F"/>
    <w:rsid w:val="004B15B3"/>
    <w:rsid w:val="004C3E69"/>
    <w:rsid w:val="004D51E8"/>
    <w:rsid w:val="004D6C9B"/>
    <w:rsid w:val="004E040F"/>
    <w:rsid w:val="004E2E31"/>
    <w:rsid w:val="004E4B57"/>
    <w:rsid w:val="004F0EFC"/>
    <w:rsid w:val="005245A2"/>
    <w:rsid w:val="00525D1E"/>
    <w:rsid w:val="005416A9"/>
    <w:rsid w:val="005434C5"/>
    <w:rsid w:val="005448F7"/>
    <w:rsid w:val="00554E5D"/>
    <w:rsid w:val="00570121"/>
    <w:rsid w:val="00574887"/>
    <w:rsid w:val="00580617"/>
    <w:rsid w:val="00584198"/>
    <w:rsid w:val="00585166"/>
    <w:rsid w:val="005A1896"/>
    <w:rsid w:val="005A39AE"/>
    <w:rsid w:val="005A7EA5"/>
    <w:rsid w:val="005B0DC9"/>
    <w:rsid w:val="005B12BC"/>
    <w:rsid w:val="005C2014"/>
    <w:rsid w:val="005C2AB8"/>
    <w:rsid w:val="005D3235"/>
    <w:rsid w:val="005E2FFC"/>
    <w:rsid w:val="005E31D3"/>
    <w:rsid w:val="005E3928"/>
    <w:rsid w:val="005E6650"/>
    <w:rsid w:val="005E6E4F"/>
    <w:rsid w:val="005E7785"/>
    <w:rsid w:val="005E7E24"/>
    <w:rsid w:val="005F01B7"/>
    <w:rsid w:val="005F48A4"/>
    <w:rsid w:val="006032A3"/>
    <w:rsid w:val="00610C4D"/>
    <w:rsid w:val="00611A98"/>
    <w:rsid w:val="00621236"/>
    <w:rsid w:val="00625A79"/>
    <w:rsid w:val="00631815"/>
    <w:rsid w:val="0063700F"/>
    <w:rsid w:val="00643E60"/>
    <w:rsid w:val="00645D21"/>
    <w:rsid w:val="00650968"/>
    <w:rsid w:val="006510D3"/>
    <w:rsid w:val="00661BFF"/>
    <w:rsid w:val="00670938"/>
    <w:rsid w:val="00670D19"/>
    <w:rsid w:val="00683845"/>
    <w:rsid w:val="00684DA7"/>
    <w:rsid w:val="00685B5C"/>
    <w:rsid w:val="006970F8"/>
    <w:rsid w:val="00697DF8"/>
    <w:rsid w:val="006A026F"/>
    <w:rsid w:val="006B5214"/>
    <w:rsid w:val="006B6E00"/>
    <w:rsid w:val="006C2C89"/>
    <w:rsid w:val="006D7A2E"/>
    <w:rsid w:val="006E7EF6"/>
    <w:rsid w:val="006F091A"/>
    <w:rsid w:val="006F13EC"/>
    <w:rsid w:val="006F5457"/>
    <w:rsid w:val="006F6354"/>
    <w:rsid w:val="007016C9"/>
    <w:rsid w:val="00701917"/>
    <w:rsid w:val="0070305D"/>
    <w:rsid w:val="00713ECA"/>
    <w:rsid w:val="00724272"/>
    <w:rsid w:val="007429AD"/>
    <w:rsid w:val="00743B37"/>
    <w:rsid w:val="00750C5D"/>
    <w:rsid w:val="00754650"/>
    <w:rsid w:val="00754E44"/>
    <w:rsid w:val="007703D4"/>
    <w:rsid w:val="00773071"/>
    <w:rsid w:val="0077494B"/>
    <w:rsid w:val="00776D5A"/>
    <w:rsid w:val="00777423"/>
    <w:rsid w:val="00781676"/>
    <w:rsid w:val="0078672B"/>
    <w:rsid w:val="00787EC0"/>
    <w:rsid w:val="00793881"/>
    <w:rsid w:val="007A243D"/>
    <w:rsid w:val="007C13B2"/>
    <w:rsid w:val="007D039E"/>
    <w:rsid w:val="007D43F3"/>
    <w:rsid w:val="007E1A32"/>
    <w:rsid w:val="007E1D39"/>
    <w:rsid w:val="007E4F69"/>
    <w:rsid w:val="007E6CD5"/>
    <w:rsid w:val="007F4604"/>
    <w:rsid w:val="008032C2"/>
    <w:rsid w:val="00803477"/>
    <w:rsid w:val="0080567B"/>
    <w:rsid w:val="008109DD"/>
    <w:rsid w:val="00810E1A"/>
    <w:rsid w:val="008132F9"/>
    <w:rsid w:val="008164CD"/>
    <w:rsid w:val="00820081"/>
    <w:rsid w:val="00820C80"/>
    <w:rsid w:val="00822C88"/>
    <w:rsid w:val="008242C1"/>
    <w:rsid w:val="0082480E"/>
    <w:rsid w:val="00851AF5"/>
    <w:rsid w:val="00856BD6"/>
    <w:rsid w:val="00857375"/>
    <w:rsid w:val="0085776C"/>
    <w:rsid w:val="00866F42"/>
    <w:rsid w:val="008725CC"/>
    <w:rsid w:val="00881C9C"/>
    <w:rsid w:val="00884849"/>
    <w:rsid w:val="00886ACE"/>
    <w:rsid w:val="008904DC"/>
    <w:rsid w:val="00892F8C"/>
    <w:rsid w:val="008A2D3D"/>
    <w:rsid w:val="008A41EB"/>
    <w:rsid w:val="008A543F"/>
    <w:rsid w:val="008A7161"/>
    <w:rsid w:val="008B1369"/>
    <w:rsid w:val="008B2BDB"/>
    <w:rsid w:val="008B61BB"/>
    <w:rsid w:val="008C0A11"/>
    <w:rsid w:val="008C478E"/>
    <w:rsid w:val="008C68D8"/>
    <w:rsid w:val="008D0558"/>
    <w:rsid w:val="008D1CAB"/>
    <w:rsid w:val="008D784F"/>
    <w:rsid w:val="008F2A35"/>
    <w:rsid w:val="008F7156"/>
    <w:rsid w:val="009012E1"/>
    <w:rsid w:val="00904DCB"/>
    <w:rsid w:val="00905BE4"/>
    <w:rsid w:val="00922620"/>
    <w:rsid w:val="00936D53"/>
    <w:rsid w:val="00943111"/>
    <w:rsid w:val="0094422F"/>
    <w:rsid w:val="00947546"/>
    <w:rsid w:val="00952872"/>
    <w:rsid w:val="00954A31"/>
    <w:rsid w:val="00960D55"/>
    <w:rsid w:val="009668D8"/>
    <w:rsid w:val="00980806"/>
    <w:rsid w:val="00981E78"/>
    <w:rsid w:val="009831B0"/>
    <w:rsid w:val="00983BCE"/>
    <w:rsid w:val="00992B8B"/>
    <w:rsid w:val="009B150E"/>
    <w:rsid w:val="009B642C"/>
    <w:rsid w:val="009B7BC7"/>
    <w:rsid w:val="009C0C64"/>
    <w:rsid w:val="009C0FE0"/>
    <w:rsid w:val="009C172E"/>
    <w:rsid w:val="009C1DAD"/>
    <w:rsid w:val="009C781F"/>
    <w:rsid w:val="009D19AD"/>
    <w:rsid w:val="009D1FDA"/>
    <w:rsid w:val="009D6ACC"/>
    <w:rsid w:val="009D6E5B"/>
    <w:rsid w:val="009E6399"/>
    <w:rsid w:val="009E7C47"/>
    <w:rsid w:val="00A028AD"/>
    <w:rsid w:val="00A03B89"/>
    <w:rsid w:val="00A0624A"/>
    <w:rsid w:val="00A113CE"/>
    <w:rsid w:val="00A15E62"/>
    <w:rsid w:val="00A16FEE"/>
    <w:rsid w:val="00A303E9"/>
    <w:rsid w:val="00A313D0"/>
    <w:rsid w:val="00A31BC7"/>
    <w:rsid w:val="00A439BF"/>
    <w:rsid w:val="00A4424C"/>
    <w:rsid w:val="00A671CD"/>
    <w:rsid w:val="00A753F1"/>
    <w:rsid w:val="00A814C8"/>
    <w:rsid w:val="00A935DC"/>
    <w:rsid w:val="00A938DA"/>
    <w:rsid w:val="00AA3F3C"/>
    <w:rsid w:val="00AA4F4E"/>
    <w:rsid w:val="00AB047F"/>
    <w:rsid w:val="00AC0A96"/>
    <w:rsid w:val="00AC51FA"/>
    <w:rsid w:val="00AD3EE6"/>
    <w:rsid w:val="00AD6565"/>
    <w:rsid w:val="00AD7EBD"/>
    <w:rsid w:val="00AE5773"/>
    <w:rsid w:val="00AF5452"/>
    <w:rsid w:val="00AF62CA"/>
    <w:rsid w:val="00AF79BB"/>
    <w:rsid w:val="00B01349"/>
    <w:rsid w:val="00B01F7D"/>
    <w:rsid w:val="00B030A0"/>
    <w:rsid w:val="00B15E08"/>
    <w:rsid w:val="00B24581"/>
    <w:rsid w:val="00B308E5"/>
    <w:rsid w:val="00B318FB"/>
    <w:rsid w:val="00B423D5"/>
    <w:rsid w:val="00B511C3"/>
    <w:rsid w:val="00B64164"/>
    <w:rsid w:val="00B64885"/>
    <w:rsid w:val="00B72012"/>
    <w:rsid w:val="00B7393B"/>
    <w:rsid w:val="00B814C8"/>
    <w:rsid w:val="00B81A8F"/>
    <w:rsid w:val="00B81C00"/>
    <w:rsid w:val="00B83432"/>
    <w:rsid w:val="00B836B0"/>
    <w:rsid w:val="00B87C55"/>
    <w:rsid w:val="00B916D1"/>
    <w:rsid w:val="00B91EF6"/>
    <w:rsid w:val="00BA3C5C"/>
    <w:rsid w:val="00BB4D64"/>
    <w:rsid w:val="00BB5B81"/>
    <w:rsid w:val="00BC0582"/>
    <w:rsid w:val="00BC3B39"/>
    <w:rsid w:val="00BC4800"/>
    <w:rsid w:val="00BC554F"/>
    <w:rsid w:val="00BD43A5"/>
    <w:rsid w:val="00BE7B6C"/>
    <w:rsid w:val="00BF39BA"/>
    <w:rsid w:val="00C03BDD"/>
    <w:rsid w:val="00C04DBB"/>
    <w:rsid w:val="00C07A72"/>
    <w:rsid w:val="00C12836"/>
    <w:rsid w:val="00C13460"/>
    <w:rsid w:val="00C2066F"/>
    <w:rsid w:val="00C2100E"/>
    <w:rsid w:val="00C23E9B"/>
    <w:rsid w:val="00C24D3D"/>
    <w:rsid w:val="00C255F3"/>
    <w:rsid w:val="00C25C07"/>
    <w:rsid w:val="00C34BD6"/>
    <w:rsid w:val="00C36E3D"/>
    <w:rsid w:val="00C52370"/>
    <w:rsid w:val="00C52406"/>
    <w:rsid w:val="00C6478D"/>
    <w:rsid w:val="00C653BE"/>
    <w:rsid w:val="00C66CD5"/>
    <w:rsid w:val="00C733E0"/>
    <w:rsid w:val="00C75D2A"/>
    <w:rsid w:val="00C774E4"/>
    <w:rsid w:val="00C91557"/>
    <w:rsid w:val="00C96804"/>
    <w:rsid w:val="00CB2300"/>
    <w:rsid w:val="00CB4681"/>
    <w:rsid w:val="00CB70C2"/>
    <w:rsid w:val="00CB74C6"/>
    <w:rsid w:val="00CC11DB"/>
    <w:rsid w:val="00CC364E"/>
    <w:rsid w:val="00CD0360"/>
    <w:rsid w:val="00CD5EB5"/>
    <w:rsid w:val="00CE295C"/>
    <w:rsid w:val="00CE4804"/>
    <w:rsid w:val="00CF397D"/>
    <w:rsid w:val="00D04705"/>
    <w:rsid w:val="00D06305"/>
    <w:rsid w:val="00D06F6C"/>
    <w:rsid w:val="00D07827"/>
    <w:rsid w:val="00D20D77"/>
    <w:rsid w:val="00D25AB3"/>
    <w:rsid w:val="00D34BC1"/>
    <w:rsid w:val="00D52E6E"/>
    <w:rsid w:val="00D63719"/>
    <w:rsid w:val="00D66042"/>
    <w:rsid w:val="00D70C08"/>
    <w:rsid w:val="00D7175D"/>
    <w:rsid w:val="00D73A45"/>
    <w:rsid w:val="00D87FD0"/>
    <w:rsid w:val="00D974FB"/>
    <w:rsid w:val="00D97B3E"/>
    <w:rsid w:val="00DA19A1"/>
    <w:rsid w:val="00DA73F0"/>
    <w:rsid w:val="00DB0E09"/>
    <w:rsid w:val="00DB18B5"/>
    <w:rsid w:val="00DB442E"/>
    <w:rsid w:val="00DC3075"/>
    <w:rsid w:val="00DC3C04"/>
    <w:rsid w:val="00DD3FA7"/>
    <w:rsid w:val="00DE13AB"/>
    <w:rsid w:val="00DE6756"/>
    <w:rsid w:val="00DE68F3"/>
    <w:rsid w:val="00DF20F2"/>
    <w:rsid w:val="00DF28FD"/>
    <w:rsid w:val="00E10443"/>
    <w:rsid w:val="00E10866"/>
    <w:rsid w:val="00E11E6A"/>
    <w:rsid w:val="00E14F23"/>
    <w:rsid w:val="00E35DAE"/>
    <w:rsid w:val="00E41239"/>
    <w:rsid w:val="00E44FCC"/>
    <w:rsid w:val="00E51E21"/>
    <w:rsid w:val="00E81B10"/>
    <w:rsid w:val="00E81BBB"/>
    <w:rsid w:val="00E84F58"/>
    <w:rsid w:val="00E8642B"/>
    <w:rsid w:val="00E93141"/>
    <w:rsid w:val="00E967FF"/>
    <w:rsid w:val="00EA14CA"/>
    <w:rsid w:val="00EB5F0D"/>
    <w:rsid w:val="00EC1358"/>
    <w:rsid w:val="00EC6643"/>
    <w:rsid w:val="00EC78D9"/>
    <w:rsid w:val="00ED534C"/>
    <w:rsid w:val="00ED7B55"/>
    <w:rsid w:val="00ED7EC3"/>
    <w:rsid w:val="00EE2C97"/>
    <w:rsid w:val="00EE4F4A"/>
    <w:rsid w:val="00EF345F"/>
    <w:rsid w:val="00EF4108"/>
    <w:rsid w:val="00F02F12"/>
    <w:rsid w:val="00F03EB1"/>
    <w:rsid w:val="00F0599E"/>
    <w:rsid w:val="00F20072"/>
    <w:rsid w:val="00F22502"/>
    <w:rsid w:val="00F245A4"/>
    <w:rsid w:val="00F2695A"/>
    <w:rsid w:val="00F27583"/>
    <w:rsid w:val="00F31626"/>
    <w:rsid w:val="00F32E9F"/>
    <w:rsid w:val="00F344A4"/>
    <w:rsid w:val="00F4259C"/>
    <w:rsid w:val="00F43171"/>
    <w:rsid w:val="00F469EC"/>
    <w:rsid w:val="00F47F3D"/>
    <w:rsid w:val="00F52D75"/>
    <w:rsid w:val="00F538DD"/>
    <w:rsid w:val="00F572E5"/>
    <w:rsid w:val="00F6680B"/>
    <w:rsid w:val="00F71355"/>
    <w:rsid w:val="00F71716"/>
    <w:rsid w:val="00F75ED8"/>
    <w:rsid w:val="00F825C8"/>
    <w:rsid w:val="00F87AE3"/>
    <w:rsid w:val="00F95DCF"/>
    <w:rsid w:val="00FA2ED5"/>
    <w:rsid w:val="00FC0722"/>
    <w:rsid w:val="00FC3BA3"/>
    <w:rsid w:val="00FD0AED"/>
    <w:rsid w:val="00FD2723"/>
    <w:rsid w:val="00FD7EDB"/>
    <w:rsid w:val="00FE145A"/>
    <w:rsid w:val="00FE33A2"/>
    <w:rsid w:val="00FE4913"/>
    <w:rsid w:val="00FE5FBD"/>
    <w:rsid w:val="00FF64F0"/>
    <w:rsid w:val="00FF6DBA"/>
    <w:rsid w:val="02354D4A"/>
    <w:rsid w:val="03C43D74"/>
    <w:rsid w:val="04D82911"/>
    <w:rsid w:val="05DB6948"/>
    <w:rsid w:val="060C2CB4"/>
    <w:rsid w:val="06605E44"/>
    <w:rsid w:val="06B41103"/>
    <w:rsid w:val="0745620B"/>
    <w:rsid w:val="0801653C"/>
    <w:rsid w:val="08645AD2"/>
    <w:rsid w:val="0A6E4C72"/>
    <w:rsid w:val="0AC70339"/>
    <w:rsid w:val="0B8C2F18"/>
    <w:rsid w:val="0BC556AC"/>
    <w:rsid w:val="0C4F2644"/>
    <w:rsid w:val="0D2C50C7"/>
    <w:rsid w:val="0D7027D3"/>
    <w:rsid w:val="0E1D44D1"/>
    <w:rsid w:val="0E3052AB"/>
    <w:rsid w:val="0F29150D"/>
    <w:rsid w:val="10C40C47"/>
    <w:rsid w:val="111D1930"/>
    <w:rsid w:val="111E7935"/>
    <w:rsid w:val="11AF50A7"/>
    <w:rsid w:val="12D21D25"/>
    <w:rsid w:val="13D42B25"/>
    <w:rsid w:val="15B777F3"/>
    <w:rsid w:val="176A1C2A"/>
    <w:rsid w:val="17E1349B"/>
    <w:rsid w:val="17EB2A66"/>
    <w:rsid w:val="188E04E9"/>
    <w:rsid w:val="19043E82"/>
    <w:rsid w:val="19290471"/>
    <w:rsid w:val="1BB32FFF"/>
    <w:rsid w:val="1D5A6E99"/>
    <w:rsid w:val="1E050A04"/>
    <w:rsid w:val="1EB552D8"/>
    <w:rsid w:val="1F746362"/>
    <w:rsid w:val="234308A2"/>
    <w:rsid w:val="244B34FD"/>
    <w:rsid w:val="25477808"/>
    <w:rsid w:val="254F4665"/>
    <w:rsid w:val="25653F08"/>
    <w:rsid w:val="2728257E"/>
    <w:rsid w:val="276112A1"/>
    <w:rsid w:val="27A33C12"/>
    <w:rsid w:val="289353EC"/>
    <w:rsid w:val="2A652B07"/>
    <w:rsid w:val="2B9A04C4"/>
    <w:rsid w:val="2CF120C5"/>
    <w:rsid w:val="2D7425B0"/>
    <w:rsid w:val="2E0217C3"/>
    <w:rsid w:val="2F697019"/>
    <w:rsid w:val="2FF407A1"/>
    <w:rsid w:val="309C4E37"/>
    <w:rsid w:val="30A76EDF"/>
    <w:rsid w:val="31300AF1"/>
    <w:rsid w:val="31F84A7D"/>
    <w:rsid w:val="34A7199B"/>
    <w:rsid w:val="35514771"/>
    <w:rsid w:val="35AE04FF"/>
    <w:rsid w:val="35EC6B2D"/>
    <w:rsid w:val="362F74E3"/>
    <w:rsid w:val="365229B5"/>
    <w:rsid w:val="377F7426"/>
    <w:rsid w:val="37EB26CB"/>
    <w:rsid w:val="381827C3"/>
    <w:rsid w:val="38383C4D"/>
    <w:rsid w:val="38CA048F"/>
    <w:rsid w:val="39D7507D"/>
    <w:rsid w:val="3A1D4451"/>
    <w:rsid w:val="3A45584F"/>
    <w:rsid w:val="3A9F28F0"/>
    <w:rsid w:val="3B7FA0A9"/>
    <w:rsid w:val="3BFB3CC9"/>
    <w:rsid w:val="3EDB38D0"/>
    <w:rsid w:val="3FCF49BB"/>
    <w:rsid w:val="40C35E84"/>
    <w:rsid w:val="425805F3"/>
    <w:rsid w:val="450045B8"/>
    <w:rsid w:val="45B44ED9"/>
    <w:rsid w:val="472C565A"/>
    <w:rsid w:val="472E362E"/>
    <w:rsid w:val="478D3EE4"/>
    <w:rsid w:val="4827361A"/>
    <w:rsid w:val="48BA6CB0"/>
    <w:rsid w:val="497637B5"/>
    <w:rsid w:val="498D7068"/>
    <w:rsid w:val="49AF5A97"/>
    <w:rsid w:val="4A1E767F"/>
    <w:rsid w:val="4AF90027"/>
    <w:rsid w:val="4B1E2C7D"/>
    <w:rsid w:val="4BC03F34"/>
    <w:rsid w:val="4CC47DF5"/>
    <w:rsid w:val="4D006FA1"/>
    <w:rsid w:val="4ED7029D"/>
    <w:rsid w:val="4EDB66F0"/>
    <w:rsid w:val="50282FE7"/>
    <w:rsid w:val="51B302F5"/>
    <w:rsid w:val="52A167DC"/>
    <w:rsid w:val="52F26AA1"/>
    <w:rsid w:val="538B123D"/>
    <w:rsid w:val="53930B8D"/>
    <w:rsid w:val="54830EA5"/>
    <w:rsid w:val="54ED44CA"/>
    <w:rsid w:val="558807BA"/>
    <w:rsid w:val="55BA09C4"/>
    <w:rsid w:val="55C0705C"/>
    <w:rsid w:val="57230200"/>
    <w:rsid w:val="577F3026"/>
    <w:rsid w:val="57AF5ECB"/>
    <w:rsid w:val="581E5458"/>
    <w:rsid w:val="5940005E"/>
    <w:rsid w:val="5A2F3836"/>
    <w:rsid w:val="5BA2623B"/>
    <w:rsid w:val="5BB860D5"/>
    <w:rsid w:val="5C5BEBE9"/>
    <w:rsid w:val="5D1C2270"/>
    <w:rsid w:val="5D6A54AB"/>
    <w:rsid w:val="5E332609"/>
    <w:rsid w:val="5E4E6800"/>
    <w:rsid w:val="5E9C4ED5"/>
    <w:rsid w:val="5F416164"/>
    <w:rsid w:val="5FC00061"/>
    <w:rsid w:val="6028567C"/>
    <w:rsid w:val="610E4CAB"/>
    <w:rsid w:val="62400425"/>
    <w:rsid w:val="62AA12DD"/>
    <w:rsid w:val="633D7677"/>
    <w:rsid w:val="63AA2231"/>
    <w:rsid w:val="63CB53D4"/>
    <w:rsid w:val="646E38B5"/>
    <w:rsid w:val="65862AE5"/>
    <w:rsid w:val="6638049F"/>
    <w:rsid w:val="67F679DA"/>
    <w:rsid w:val="680072C8"/>
    <w:rsid w:val="6A1D08E2"/>
    <w:rsid w:val="6A26137C"/>
    <w:rsid w:val="6A314A91"/>
    <w:rsid w:val="6A42738A"/>
    <w:rsid w:val="6A6B42F5"/>
    <w:rsid w:val="6AD1096D"/>
    <w:rsid w:val="6C0F17F0"/>
    <w:rsid w:val="6E8D13B6"/>
    <w:rsid w:val="6EA97F9D"/>
    <w:rsid w:val="6EF830B2"/>
    <w:rsid w:val="6F6C28D7"/>
    <w:rsid w:val="6F9A2648"/>
    <w:rsid w:val="701A6621"/>
    <w:rsid w:val="70BE65EA"/>
    <w:rsid w:val="71BA2F35"/>
    <w:rsid w:val="73323453"/>
    <w:rsid w:val="73BA7C0A"/>
    <w:rsid w:val="743E085A"/>
    <w:rsid w:val="74703C1F"/>
    <w:rsid w:val="74BC2FEB"/>
    <w:rsid w:val="75A9625B"/>
    <w:rsid w:val="767C386F"/>
    <w:rsid w:val="768D2345"/>
    <w:rsid w:val="76C40416"/>
    <w:rsid w:val="7717459D"/>
    <w:rsid w:val="7853165E"/>
    <w:rsid w:val="79A10291"/>
    <w:rsid w:val="79E577A6"/>
    <w:rsid w:val="79FC7973"/>
    <w:rsid w:val="7AAE1946"/>
    <w:rsid w:val="7AB13732"/>
    <w:rsid w:val="7AFE0308"/>
    <w:rsid w:val="7CD41CAF"/>
    <w:rsid w:val="7D573ABD"/>
    <w:rsid w:val="7D636FB6"/>
    <w:rsid w:val="7F067FDD"/>
    <w:rsid w:val="7FEB2FF4"/>
    <w:rsid w:val="7FEE5166"/>
    <w:rsid w:val="97C51E41"/>
    <w:rsid w:val="A96F57F9"/>
    <w:rsid w:val="BB7F85EF"/>
    <w:rsid w:val="BECF1C9D"/>
    <w:rsid w:val="EDF7DCC3"/>
    <w:rsid w:val="F23DE52B"/>
    <w:rsid w:val="F4BFBD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Cs w:val="20"/>
    </w:rPr>
  </w:style>
  <w:style w:type="paragraph" w:styleId="3">
    <w:name w:val="Body Text"/>
    <w:basedOn w:val="1"/>
    <w:qFormat/>
    <w:uiPriority w:val="0"/>
    <w:pPr>
      <w:spacing w:before="100" w:beforeAutospacing="1" w:after="120"/>
    </w:pPr>
    <w:rPr>
      <w:szCs w:val="21"/>
    </w:rPr>
  </w:style>
  <w:style w:type="paragraph" w:styleId="7">
    <w:name w:val="Balloon Text"/>
    <w:basedOn w:val="1"/>
    <w:link w:val="22"/>
    <w:semiHidden/>
    <w:unhideWhenUsed/>
    <w:qFormat/>
    <w:uiPriority w:val="99"/>
    <w:rPr>
      <w:sz w:val="18"/>
      <w:szCs w:val="18"/>
    </w:rPr>
  </w:style>
  <w:style w:type="paragraph" w:styleId="8">
    <w:name w:val="footer"/>
    <w:basedOn w:val="1"/>
    <w:link w:val="15"/>
    <w:qFormat/>
    <w:uiPriority w:val="0"/>
    <w:pPr>
      <w:tabs>
        <w:tab w:val="center" w:pos="4153"/>
        <w:tab w:val="right" w:pos="8306"/>
      </w:tabs>
      <w:snapToGrid w:val="0"/>
      <w:jc w:val="left"/>
    </w:pPr>
    <w:rPr>
      <w:sz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customStyle="1" w:styleId="15">
    <w:name w:val="页脚 Char"/>
    <w:basedOn w:val="13"/>
    <w:link w:val="8"/>
    <w:qFormat/>
    <w:uiPriority w:val="0"/>
    <w:rPr>
      <w:rFonts w:ascii="Times New Roman" w:hAnsi="Times New Roman" w:eastAsia="宋体" w:cs="Times New Roman"/>
      <w:sz w:val="18"/>
      <w:szCs w:val="24"/>
    </w:rPr>
  </w:style>
  <w:style w:type="character" w:customStyle="1" w:styleId="16">
    <w:name w:val="页眉 Char"/>
    <w:basedOn w:val="13"/>
    <w:link w:val="9"/>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font3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批注框文本 Char"/>
    <w:basedOn w:val="13"/>
    <w:link w:val="7"/>
    <w:semiHidden/>
    <w:qFormat/>
    <w:uiPriority w:val="99"/>
    <w:rPr>
      <w:kern w:val="2"/>
      <w:sz w:val="18"/>
      <w:szCs w:val="18"/>
    </w:rPr>
  </w:style>
  <w:style w:type="paragraph" w:customStyle="1" w:styleId="23">
    <w:name w:val="Heading #2|1"/>
    <w:basedOn w:val="1"/>
    <w:qFormat/>
    <w:uiPriority w:val="0"/>
    <w:pPr>
      <w:widowControl w:val="0"/>
      <w:shd w:val="clear" w:color="auto" w:fill="FFFFFF"/>
      <w:spacing w:before="380" w:after="140" w:line="170" w:lineRule="exact"/>
      <w:ind w:firstLine="280"/>
      <w:jc w:val="distribute"/>
      <w:outlineLvl w:val="1"/>
    </w:pPr>
    <w:rPr>
      <w:rFonts w:ascii="PMingLiU" w:hAnsi="PMingLiU" w:eastAsia="PMingLiU" w:cs="PMingLiU"/>
      <w:sz w:val="17"/>
      <w:szCs w:val="17"/>
      <w:u w:val="none"/>
    </w:rPr>
  </w:style>
  <w:style w:type="paragraph" w:customStyle="1" w:styleId="24">
    <w:name w:val="Body text|2"/>
    <w:basedOn w:val="1"/>
    <w:qFormat/>
    <w:uiPriority w:val="0"/>
    <w:pPr>
      <w:widowControl w:val="0"/>
      <w:shd w:val="clear" w:color="auto" w:fill="FFFFFF"/>
      <w:spacing w:before="140" w:line="233" w:lineRule="exact"/>
      <w:ind w:hanging="420"/>
    </w:pPr>
    <w:rPr>
      <w:rFonts w:ascii="PMingLiU" w:hAnsi="PMingLiU" w:eastAsia="PMingLiU" w:cs="PMingLiU"/>
      <w:sz w:val="13"/>
      <w:szCs w:val="13"/>
      <w:u w:val="none"/>
    </w:rPr>
  </w:style>
  <w:style w:type="paragraph" w:customStyle="1" w:styleId="25">
    <w:name w:val="Body text|1"/>
    <w:basedOn w:val="1"/>
    <w:qFormat/>
    <w:uiPriority w:val="0"/>
    <w:pPr>
      <w:widowControl w:val="0"/>
      <w:shd w:val="clear" w:color="auto" w:fill="auto"/>
      <w:spacing w:after="40"/>
      <w:jc w:val="center"/>
    </w:pPr>
    <w:rPr>
      <w:rFonts w:ascii="MingLiU" w:hAnsi="MingLiU" w:eastAsia="MingLiU" w:cs="MingLiU"/>
      <w:sz w:val="26"/>
      <w:szCs w:val="26"/>
      <w:u w:val="none"/>
      <w:shd w:val="clear" w:color="auto" w:fill="auto"/>
      <w:lang w:val="zh-TW" w:eastAsia="zh-TW" w:bidi="zh-TW"/>
    </w:rPr>
  </w:style>
  <w:style w:type="paragraph" w:customStyle="1" w:styleId="26">
    <w:name w:val="Other|1"/>
    <w:basedOn w:val="1"/>
    <w:qFormat/>
    <w:uiPriority w:val="0"/>
    <w:pPr>
      <w:widowControl w:val="0"/>
      <w:shd w:val="clear" w:color="auto" w:fill="auto"/>
      <w:jc w:val="center"/>
    </w:pPr>
    <w:rPr>
      <w:rFonts w:ascii="MingLiU" w:hAnsi="MingLiU" w:eastAsia="MingLiU" w:cs="MingLiU"/>
      <w:sz w:val="20"/>
      <w:szCs w:val="20"/>
      <w:u w:val="none"/>
      <w:shd w:val="clear" w:color="auto" w:fill="auto"/>
      <w:lang w:val="zh-TW" w:eastAsia="zh-TW" w:bidi="zh-TW"/>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14734</Words>
  <Characters>15819</Characters>
  <Lines>56</Lines>
  <Paragraphs>15</Paragraphs>
  <TotalTime>0</TotalTime>
  <ScaleCrop>false</ScaleCrop>
  <LinksUpToDate>false</LinksUpToDate>
  <CharactersWithSpaces>15915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2019-07-16T16:25:00Z</dcterms:created>
  <dc:creator>lmm</dc:creator>
  <cp:lastModifiedBy>Mr-zhang</cp:lastModifiedBy>
  <cp:lastPrinted>2019-07-13T11:02:00Z</cp:lastPrinted>
  <dcterms:modified xsi:type="dcterms:W3CDTF">2023-03-20T04:46:01Z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1F358F37EBF24C6B9FA554556549B083</vt:lpwstr>
  </property>
</Properties>
</file>