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tLeast" w:line="400"/>
        <w:jc w:val="center"/>
        <w:rPr>
          <w:rFonts w:ascii="宋体" w:eastAsia="宋体" w:hAnsi="宋体"/>
          <w:b/>
          <w:sz w:val="32"/>
        </w:rPr>
      </w:pPr>
      <w:r>
        <w:rPr>
          <w:rFonts w:ascii="宋体" w:eastAsia="宋体" w:hAnsi="宋体"/>
          <w:b/>
          <w:sz w:val="32"/>
        </w:rPr>
        <w:t>柳州市交通学校</w:t>
      </w:r>
    </w:p>
    <w:p>
      <w:pPr>
        <w:pStyle w:val="style0"/>
        <w:spacing w:after="156" w:afterLines="50" w:lineRule="atLeast" w:line="400"/>
        <w:jc w:val="center"/>
        <w:rPr>
          <w:rFonts w:ascii="宋体" w:eastAsia="宋体" w:hAnsi="宋体"/>
          <w:b/>
          <w:sz w:val="32"/>
        </w:rPr>
      </w:pPr>
      <w:r>
        <w:rPr>
          <w:rFonts w:ascii="宋体" w:eastAsia="宋体" w:hAnsi="宋体"/>
          <w:b/>
          <w:sz w:val="32"/>
        </w:rPr>
        <w:t>2020年教职工</w:t>
      </w:r>
      <w:r>
        <w:rPr>
          <w:rFonts w:ascii="宋体" w:eastAsia="宋体" w:hAnsi="宋体" w:hint="eastAsia"/>
          <w:b/>
          <w:sz w:val="32"/>
        </w:rPr>
        <w:t>春节</w:t>
      </w:r>
      <w:r>
        <w:rPr>
          <w:rFonts w:ascii="宋体" w:eastAsia="宋体" w:hAnsi="宋体"/>
          <w:b/>
          <w:sz w:val="32"/>
        </w:rPr>
        <w:t>慰问品招标公告</w:t>
      </w:r>
    </w:p>
    <w:p>
      <w:pPr>
        <w:pStyle w:val="style0"/>
        <w:spacing w:lineRule="auto" w:line="360"/>
        <w:rPr>
          <w:rFonts w:ascii="宋体" w:eastAsia="宋体" w:hAnsi="宋体"/>
          <w:sz w:val="24"/>
        </w:rPr>
      </w:pPr>
      <w:r>
        <w:rPr>
          <w:rFonts w:ascii="宋体" w:eastAsia="宋体" w:hAnsi="宋体"/>
          <w:sz w:val="24"/>
        </w:rPr>
        <w:t xml:space="preserve">    根据全国总工会“工财发(2014) 69号关于《关于加强基层工会经费收支管理的通知》的补充通知”精神，校工会拟在近期采购一批</w:t>
      </w:r>
      <w:r>
        <w:rPr>
          <w:rFonts w:ascii="宋体" w:eastAsia="宋体" w:hAnsi="宋体" w:hint="eastAsia"/>
          <w:sz w:val="24"/>
        </w:rPr>
        <w:t>物品</w:t>
      </w:r>
      <w:r>
        <w:rPr>
          <w:rFonts w:ascii="宋体" w:eastAsia="宋体" w:hAnsi="宋体"/>
          <w:sz w:val="24"/>
        </w:rPr>
        <w:t>作为全校教职工</w:t>
      </w:r>
      <w:r>
        <w:rPr>
          <w:rFonts w:ascii="宋体" w:eastAsia="宋体" w:hAnsi="宋体" w:hint="eastAsia"/>
          <w:sz w:val="24"/>
        </w:rPr>
        <w:t>2</w:t>
      </w:r>
      <w:r>
        <w:rPr>
          <w:rFonts w:ascii="宋体" w:eastAsia="宋体" w:hAnsi="宋体"/>
          <w:sz w:val="24"/>
        </w:rPr>
        <w:t>020</w:t>
      </w:r>
      <w:r>
        <w:rPr>
          <w:rFonts w:ascii="宋体" w:eastAsia="宋体" w:hAnsi="宋体" w:hint="eastAsia"/>
          <w:sz w:val="24"/>
        </w:rPr>
        <w:t>年</w:t>
      </w:r>
      <w:r>
        <w:rPr>
          <w:rFonts w:ascii="宋体" w:eastAsia="宋体" w:hAnsi="宋体"/>
          <w:sz w:val="24"/>
        </w:rPr>
        <w:t>春节的慰问品。对于</w:t>
      </w:r>
      <w:r>
        <w:rPr>
          <w:rFonts w:ascii="宋体" w:eastAsia="宋体" w:hAnsi="宋体" w:hint="eastAsia"/>
          <w:sz w:val="24"/>
        </w:rPr>
        <w:t>物品</w:t>
      </w:r>
      <w:r>
        <w:rPr>
          <w:rFonts w:ascii="宋体" w:eastAsia="宋体" w:hAnsi="宋体"/>
          <w:sz w:val="24"/>
        </w:rPr>
        <w:t>供</w:t>
      </w:r>
      <w:r>
        <w:rPr>
          <w:rFonts w:ascii="宋体" w:eastAsia="宋体" w:hAnsi="宋体" w:hint="eastAsia"/>
          <w:sz w:val="24"/>
        </w:rPr>
        <w:t>应</w:t>
      </w:r>
      <w:r>
        <w:rPr>
          <w:rFonts w:ascii="宋体" w:eastAsia="宋体" w:hAnsi="宋体"/>
          <w:sz w:val="24"/>
        </w:rPr>
        <w:t>商的选择，学校工会将通过招标</w:t>
      </w:r>
      <w:r>
        <w:rPr>
          <w:rFonts w:ascii="宋体" w:eastAsia="宋体" w:hAnsi="宋体" w:hint="eastAsia"/>
          <w:sz w:val="24"/>
        </w:rPr>
        <w:t>的</w:t>
      </w:r>
      <w:r>
        <w:rPr>
          <w:rFonts w:ascii="宋体" w:eastAsia="宋体" w:hAnsi="宋体"/>
          <w:sz w:val="24"/>
        </w:rPr>
        <w:t>形式最终确定一家作为本年度采购的供</w:t>
      </w:r>
      <w:r>
        <w:rPr>
          <w:rFonts w:ascii="宋体" w:eastAsia="宋体" w:hAnsi="宋体" w:hint="eastAsia"/>
          <w:sz w:val="24"/>
        </w:rPr>
        <w:t>应</w:t>
      </w:r>
      <w:r>
        <w:rPr>
          <w:rFonts w:ascii="宋体" w:eastAsia="宋体" w:hAnsi="宋体"/>
          <w:sz w:val="24"/>
        </w:rPr>
        <w:t>商。</w:t>
      </w:r>
    </w:p>
    <w:p>
      <w:pPr>
        <w:pStyle w:val="style0"/>
        <w:spacing w:lineRule="auto" w:line="360"/>
        <w:rPr>
          <w:rFonts w:ascii="宋体" w:eastAsia="宋体" w:hAnsi="宋体"/>
          <w:b/>
          <w:sz w:val="24"/>
        </w:rPr>
      </w:pPr>
      <w:r>
        <w:rPr>
          <w:rFonts w:ascii="宋体" w:eastAsia="宋体" w:hAnsi="宋体"/>
          <w:sz w:val="24"/>
        </w:rPr>
        <w:t xml:space="preserve">     </w:t>
      </w:r>
      <w:r>
        <w:rPr>
          <w:rFonts w:ascii="宋体" w:eastAsia="宋体" w:hAnsi="宋体"/>
          <w:b/>
          <w:sz w:val="24"/>
        </w:rPr>
        <w:t>一、招标内容及要求</w:t>
      </w:r>
    </w:p>
    <w:p>
      <w:pPr>
        <w:pStyle w:val="style0"/>
        <w:spacing w:lineRule="auto" w:line="360"/>
        <w:rPr>
          <w:rFonts w:ascii="宋体" w:eastAsia="宋体" w:hAnsi="宋体"/>
          <w:sz w:val="24"/>
        </w:rPr>
      </w:pPr>
      <w:r>
        <w:rPr>
          <w:rFonts w:ascii="宋体" w:eastAsia="宋体" w:hAnsi="宋体"/>
          <w:sz w:val="24"/>
        </w:rPr>
        <w:t xml:space="preserve">     1. 物品为</w:t>
      </w:r>
      <w:r>
        <w:rPr>
          <w:rFonts w:ascii="宋体" w:eastAsia="宋体" w:hAnsi="宋体" w:hint="eastAsia"/>
          <w:sz w:val="24"/>
        </w:rPr>
        <w:t>日常</w:t>
      </w:r>
      <w:r>
        <w:rPr>
          <w:rFonts w:ascii="宋体" w:eastAsia="宋体" w:hAnsi="宋体"/>
          <w:sz w:val="24"/>
        </w:rPr>
        <w:t>生活中的</w:t>
      </w:r>
      <w:r>
        <w:rPr>
          <w:rFonts w:ascii="宋体" w:eastAsia="宋体" w:hAnsi="宋体" w:hint="eastAsia"/>
          <w:sz w:val="24"/>
        </w:rPr>
        <w:t>食</w:t>
      </w:r>
      <w:r>
        <w:rPr>
          <w:rFonts w:ascii="宋体" w:eastAsia="宋体" w:hAnsi="宋体"/>
          <w:sz w:val="24"/>
        </w:rPr>
        <w:t>、用物品，详见附表</w:t>
      </w:r>
      <w:r>
        <w:rPr>
          <w:rFonts w:ascii="宋体" w:eastAsia="宋体" w:hAnsi="宋体" w:hint="eastAsia"/>
          <w:sz w:val="24"/>
        </w:rPr>
        <w:t>；</w:t>
      </w:r>
    </w:p>
    <w:p>
      <w:pPr>
        <w:pStyle w:val="style0"/>
        <w:spacing w:lineRule="auto" w:line="360"/>
        <w:rPr>
          <w:rFonts w:ascii="宋体" w:eastAsia="宋体" w:hAnsi="宋体"/>
          <w:sz w:val="24"/>
        </w:rPr>
      </w:pPr>
      <w:r>
        <w:rPr>
          <w:rFonts w:ascii="宋体" w:eastAsia="宋体" w:hAnsi="宋体"/>
          <w:sz w:val="24"/>
        </w:rPr>
        <w:t xml:space="preserve">     2</w:t>
      </w:r>
      <w:r>
        <w:rPr>
          <w:rFonts w:ascii="宋体" w:eastAsia="宋体" w:hAnsi="宋体" w:hint="eastAsia"/>
          <w:sz w:val="24"/>
        </w:rPr>
        <w:t>．</w:t>
      </w:r>
      <w:r>
        <w:rPr>
          <w:rFonts w:ascii="宋体" w:eastAsia="宋体" w:hAnsi="宋体"/>
          <w:sz w:val="24"/>
        </w:rPr>
        <w:t>价值小于400元/份，共</w:t>
      </w:r>
      <w:r>
        <w:rPr>
          <w:rFonts w:ascii="宋体" w:eastAsia="宋体" w:hAnsi="宋体" w:hint="eastAsia"/>
          <w:sz w:val="24"/>
        </w:rPr>
        <w:t>2</w:t>
      </w:r>
      <w:r>
        <w:rPr>
          <w:rFonts w:ascii="宋体" w:eastAsia="宋体" w:hAnsi="宋体"/>
          <w:sz w:val="24"/>
        </w:rPr>
        <w:t>48份(注:</w:t>
      </w:r>
      <w:r>
        <w:rPr>
          <w:rFonts w:ascii="宋体" w:eastAsia="宋体" w:hAnsi="宋体" w:hint="eastAsia"/>
          <w:sz w:val="24"/>
        </w:rPr>
        <w:t>份</w:t>
      </w:r>
      <w:r>
        <w:rPr>
          <w:rFonts w:ascii="宋体" w:eastAsia="宋体" w:hAnsi="宋体"/>
          <w:sz w:val="24"/>
        </w:rPr>
        <w:t>数可能会有微调)</w:t>
      </w:r>
      <w:r>
        <w:rPr>
          <w:rFonts w:ascii="宋体" w:eastAsia="宋体" w:hAnsi="宋体" w:hint="eastAsia"/>
          <w:sz w:val="24"/>
        </w:rPr>
        <w:t>；</w:t>
      </w:r>
    </w:p>
    <w:p>
      <w:pPr>
        <w:pStyle w:val="style0"/>
        <w:spacing w:lineRule="auto" w:line="360"/>
        <w:ind w:firstLine="600" w:firstLineChars="250"/>
        <w:rPr>
          <w:rFonts w:ascii="宋体" w:eastAsia="宋体" w:hAnsi="宋体"/>
          <w:sz w:val="24"/>
        </w:rPr>
      </w:pPr>
      <w:r>
        <w:rPr>
          <w:rFonts w:ascii="宋体" w:eastAsia="宋体" w:hAnsi="宋体"/>
          <w:sz w:val="24"/>
        </w:rPr>
        <w:t>3. 供货时间: 2020年1月9日</w:t>
      </w:r>
      <w:r>
        <w:rPr>
          <w:rFonts w:ascii="宋体" w:eastAsia="宋体" w:hAnsi="宋体" w:hint="eastAsia"/>
          <w:sz w:val="24"/>
        </w:rPr>
        <w:t>。</w:t>
      </w:r>
    </w:p>
    <w:p>
      <w:pPr>
        <w:pStyle w:val="style0"/>
        <w:spacing w:lineRule="auto" w:line="360"/>
        <w:ind w:firstLine="602" w:firstLineChars="250"/>
        <w:rPr>
          <w:rFonts w:ascii="宋体" w:eastAsia="宋体" w:hAnsi="宋体"/>
          <w:b/>
          <w:sz w:val="24"/>
        </w:rPr>
      </w:pPr>
      <w:r>
        <w:rPr>
          <w:rFonts w:ascii="宋体" w:eastAsia="宋体" w:hAnsi="宋体"/>
          <w:b/>
          <w:sz w:val="24"/>
        </w:rPr>
        <w:t>二、采购方式</w:t>
      </w:r>
    </w:p>
    <w:p>
      <w:pPr>
        <w:pStyle w:val="style0"/>
        <w:spacing w:lineRule="auto" w:line="360"/>
        <w:rPr>
          <w:rFonts w:ascii="宋体" w:eastAsia="宋体" w:hAnsi="宋体"/>
          <w:sz w:val="24"/>
        </w:rPr>
      </w:pPr>
      <w:r>
        <w:rPr>
          <w:rFonts w:ascii="宋体" w:eastAsia="宋体" w:hAnsi="宋体"/>
          <w:sz w:val="24"/>
        </w:rPr>
        <w:t xml:space="preserve">     一次性采购</w:t>
      </w:r>
      <w:r>
        <w:rPr>
          <w:rFonts w:ascii="宋体" w:eastAsia="宋体" w:hAnsi="宋体" w:hint="eastAsia"/>
          <w:sz w:val="24"/>
        </w:rPr>
        <w:t>；</w:t>
      </w:r>
    </w:p>
    <w:p>
      <w:pPr>
        <w:pStyle w:val="style0"/>
        <w:spacing w:lineRule="auto" w:line="360"/>
        <w:rPr>
          <w:rFonts w:ascii="宋体" w:eastAsia="宋体" w:hAnsi="宋体"/>
          <w:b/>
          <w:sz w:val="24"/>
        </w:rPr>
      </w:pPr>
      <w:r>
        <w:rPr>
          <w:rFonts w:ascii="宋体" w:eastAsia="宋体" w:hAnsi="宋体"/>
          <w:sz w:val="24"/>
        </w:rPr>
        <w:t xml:space="preserve">    </w:t>
      </w:r>
      <w:r>
        <w:rPr>
          <w:rFonts w:ascii="宋体" w:eastAsia="宋体" w:hAnsi="宋体"/>
          <w:b/>
          <w:sz w:val="24"/>
        </w:rPr>
        <w:t xml:space="preserve"> 三、供货商资质要求</w:t>
      </w:r>
    </w:p>
    <w:p>
      <w:pPr>
        <w:pStyle w:val="style0"/>
        <w:spacing w:lineRule="auto" w:line="360"/>
        <w:rPr>
          <w:rFonts w:ascii="宋体" w:eastAsia="宋体" w:hAnsi="宋体"/>
          <w:sz w:val="24"/>
        </w:rPr>
      </w:pPr>
      <w:r>
        <w:rPr>
          <w:rFonts w:ascii="宋体" w:eastAsia="宋体" w:hAnsi="宋体"/>
          <w:sz w:val="24"/>
        </w:rPr>
        <w:t xml:space="preserve">     1.具备独立承担民事责任能力的在中华人民共和国境内注册的法人或其他组织</w:t>
      </w:r>
      <w:r>
        <w:rPr>
          <w:rFonts w:ascii="宋体" w:eastAsia="宋体" w:hAnsi="宋体" w:hint="eastAsia"/>
          <w:sz w:val="24"/>
        </w:rPr>
        <w:t>；</w:t>
      </w:r>
    </w:p>
    <w:p>
      <w:pPr>
        <w:pStyle w:val="style0"/>
        <w:spacing w:lineRule="auto" w:line="360"/>
        <w:rPr>
          <w:rFonts w:ascii="宋体" w:eastAsia="宋体" w:hAnsi="宋体"/>
          <w:sz w:val="24"/>
        </w:rPr>
      </w:pPr>
      <w:r>
        <w:rPr>
          <w:rFonts w:ascii="宋体" w:eastAsia="宋体" w:hAnsi="宋体"/>
          <w:sz w:val="24"/>
        </w:rPr>
        <w:t xml:space="preserve">     2.持有效营业执照、生产经营卫生许可证或厂家的代理授权书</w:t>
      </w:r>
      <w:r>
        <w:rPr>
          <w:rFonts w:ascii="宋体" w:eastAsia="宋体" w:hAnsi="宋体" w:hint="eastAsia"/>
          <w:sz w:val="24"/>
        </w:rPr>
        <w:t>；</w:t>
      </w:r>
    </w:p>
    <w:p>
      <w:pPr>
        <w:pStyle w:val="style0"/>
        <w:spacing w:lineRule="auto" w:line="360"/>
        <w:rPr>
          <w:rFonts w:ascii="宋体" w:eastAsia="宋体" w:hAnsi="宋体"/>
          <w:sz w:val="24"/>
        </w:rPr>
      </w:pPr>
      <w:r>
        <w:rPr>
          <w:rFonts w:ascii="宋体" w:eastAsia="宋体" w:hAnsi="宋体"/>
          <w:sz w:val="24"/>
        </w:rPr>
        <w:t xml:space="preserve">     3.供</w:t>
      </w:r>
      <w:r>
        <w:rPr>
          <w:rFonts w:ascii="宋体" w:eastAsia="宋体" w:hAnsi="宋体" w:hint="eastAsia"/>
          <w:sz w:val="24"/>
        </w:rPr>
        <w:t>应</w:t>
      </w:r>
      <w:r>
        <w:rPr>
          <w:rFonts w:ascii="宋体" w:eastAsia="宋体" w:hAnsi="宋体"/>
          <w:sz w:val="24"/>
        </w:rPr>
        <w:t>商</w:t>
      </w:r>
      <w:r>
        <w:rPr>
          <w:rFonts w:ascii="宋体" w:eastAsia="宋体" w:hAnsi="宋体" w:hint="eastAsia"/>
          <w:sz w:val="24"/>
        </w:rPr>
        <w:t>供应</w:t>
      </w:r>
      <w:r>
        <w:rPr>
          <w:rFonts w:ascii="宋体" w:eastAsia="宋体" w:hAnsi="宋体"/>
          <w:sz w:val="24"/>
        </w:rPr>
        <w:t>年货所采用的原材料、辅料必须符合国家标准和有关规定，保证食品安全</w:t>
      </w:r>
      <w:r>
        <w:rPr>
          <w:rFonts w:ascii="宋体" w:eastAsia="宋体" w:hAnsi="宋体" w:hint="eastAsia"/>
          <w:sz w:val="24"/>
        </w:rPr>
        <w:t>。</w:t>
      </w:r>
    </w:p>
    <w:p>
      <w:pPr>
        <w:pStyle w:val="style0"/>
        <w:rPr>
          <w:rFonts w:ascii="宋体" w:eastAsia="宋体" w:hAnsi="宋体"/>
          <w:sz w:val="24"/>
        </w:rPr>
      </w:pPr>
      <w:r>
        <w:rPr>
          <w:rFonts w:ascii="宋体" w:eastAsia="宋体" w:hAnsi="宋体"/>
          <w:sz w:val="24"/>
        </w:rPr>
        <w:t xml:space="preserve">     4. 供货商货品存量充足，能保证配送的及时性。</w:t>
      </w:r>
    </w:p>
    <w:p>
      <w:pPr>
        <w:pStyle w:val="style0"/>
        <w:spacing w:lineRule="auto" w:line="360"/>
        <w:rPr>
          <w:rFonts w:ascii="宋体" w:eastAsia="宋体" w:hAnsi="宋体"/>
          <w:b/>
          <w:sz w:val="24"/>
        </w:rPr>
      </w:pPr>
      <w:r>
        <w:rPr>
          <w:rFonts w:ascii="宋体" w:eastAsia="宋体" w:hAnsi="宋体"/>
          <w:sz w:val="24"/>
        </w:rPr>
        <w:t xml:space="preserve">    </w:t>
      </w:r>
      <w:r>
        <w:rPr>
          <w:rFonts w:ascii="宋体" w:eastAsia="宋体" w:hAnsi="宋体"/>
          <w:b/>
          <w:sz w:val="24"/>
        </w:rPr>
        <w:t xml:space="preserve"> 四、招标</w:t>
      </w:r>
      <w:r>
        <w:rPr>
          <w:rFonts w:ascii="宋体" w:eastAsia="宋体" w:hAnsi="宋体" w:hint="eastAsia"/>
          <w:b/>
          <w:sz w:val="24"/>
        </w:rPr>
        <w:t>办法</w:t>
      </w:r>
      <w:r>
        <w:rPr>
          <w:rFonts w:ascii="宋体" w:eastAsia="宋体" w:hAnsi="宋体"/>
          <w:b/>
          <w:sz w:val="24"/>
        </w:rPr>
        <w:t>及程序</w:t>
      </w:r>
    </w:p>
    <w:p>
      <w:pPr>
        <w:pStyle w:val="style0"/>
        <w:spacing w:lineRule="auto" w:line="360"/>
        <w:rPr>
          <w:rFonts w:ascii="宋体" w:eastAsia="宋体" w:hAnsi="宋体"/>
          <w:sz w:val="24"/>
        </w:rPr>
      </w:pPr>
      <w:r>
        <w:rPr>
          <w:rFonts w:ascii="宋体" w:eastAsia="宋体" w:hAnsi="宋体"/>
          <w:sz w:val="24"/>
        </w:rPr>
        <w:t xml:space="preserve">     本次招标由柳州市交通学校工会组织评标，在学校</w:t>
      </w:r>
      <w:r>
        <w:rPr>
          <w:rFonts w:ascii="宋体" w:eastAsia="宋体" w:hAnsi="宋体" w:hint="eastAsia"/>
          <w:sz w:val="24"/>
        </w:rPr>
        <w:t>党办</w:t>
      </w:r>
      <w:r>
        <w:rPr>
          <w:rFonts w:ascii="宋体" w:eastAsia="宋体" w:hAnsi="宋体"/>
          <w:sz w:val="24"/>
        </w:rPr>
        <w:t>监督下进行开标。本次招标评审将采取竞争性磋商法</w:t>
      </w:r>
      <w:r>
        <w:rPr>
          <w:rFonts w:ascii="宋体" w:eastAsia="宋体" w:hAnsi="宋体" w:hint="eastAsia"/>
          <w:sz w:val="24"/>
        </w:rPr>
        <w:t>，</w:t>
      </w:r>
      <w:r>
        <w:rPr>
          <w:rFonts w:ascii="宋体" w:eastAsia="宋体" w:hAnsi="宋体"/>
          <w:sz w:val="24"/>
        </w:rPr>
        <w:t>投标方可二次报价，评审专家组分别      对投标人根据其价格、公司实力、产品质量、服务承诺等要素进行综合评分，总分100分。在满足招标文件要求的前提下，综合得分最高者为第一名，依次类推确定得分排名顺序。若出现二家投标人综合得分相同，则确定投标报价较低者排名在投标报价较高者之前。具体评分细则如下:</w:t>
      </w:r>
    </w:p>
    <w:p>
      <w:pPr>
        <w:pStyle w:val="style0"/>
        <w:spacing w:lineRule="auto" w:line="360"/>
        <w:rPr>
          <w:rFonts w:ascii="宋体" w:eastAsia="宋体" w:hAnsi="宋体"/>
          <w:sz w:val="24"/>
        </w:rPr>
      </w:pPr>
    </w:p>
    <w:p>
      <w:pPr>
        <w:pStyle w:val="style0"/>
        <w:spacing w:lineRule="auto" w:line="360"/>
        <w:rPr>
          <w:rFonts w:ascii="宋体" w:eastAsia="宋体" w:hAnsi="宋体"/>
          <w:sz w:val="24"/>
        </w:rPr>
      </w:pPr>
    </w:p>
    <w:p>
      <w:pPr>
        <w:pStyle w:val="style0"/>
        <w:spacing w:lineRule="auto" w:line="360"/>
        <w:rPr>
          <w:rFonts w:ascii="宋体" w:eastAsia="宋体" w:hAnsi="宋体"/>
          <w:sz w:val="24"/>
        </w:rPr>
      </w:pPr>
    </w:p>
    <w:tbl>
      <w:tblPr>
        <w:tblStyle w:val="style15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04"/>
        <w:gridCol w:w="1418"/>
        <w:gridCol w:w="1134"/>
        <w:gridCol w:w="2835"/>
        <w:gridCol w:w="865"/>
        <w:gridCol w:w="1340"/>
      </w:tblGrid>
      <w:tr>
        <w:trPr>
          <w:jc w:val="center"/>
        </w:trPr>
        <w:tc>
          <w:tcPr>
            <w:tcW w:w="704" w:type="dxa"/>
            <w:tcBorders/>
          </w:tcPr>
          <w:p>
            <w:pPr>
              <w:pStyle w:val="style0"/>
              <w:spacing w:lineRule="auto" w:line="360"/>
              <w:jc w:val="center"/>
              <w:rPr>
                <w:rFonts w:ascii="宋体" w:eastAsia="宋体" w:hAnsi="宋体"/>
                <w:sz w:val="24"/>
              </w:rPr>
            </w:pPr>
            <w:r>
              <w:rPr>
                <w:rFonts w:ascii="宋体" w:eastAsia="宋体" w:hAnsi="宋体" w:hint="eastAsia"/>
                <w:sz w:val="24"/>
              </w:rPr>
              <w:t>序号</w:t>
            </w:r>
          </w:p>
        </w:tc>
        <w:tc>
          <w:tcPr>
            <w:tcW w:w="1418" w:type="dxa"/>
            <w:tcBorders/>
            <w:vAlign w:val="center"/>
          </w:tcPr>
          <w:p>
            <w:pPr>
              <w:pStyle w:val="style0"/>
              <w:spacing w:lineRule="auto" w:line="360"/>
              <w:jc w:val="center"/>
              <w:rPr>
                <w:rFonts w:ascii="宋体" w:eastAsia="宋体" w:hAnsi="宋体"/>
                <w:sz w:val="24"/>
              </w:rPr>
            </w:pPr>
            <w:r>
              <w:rPr>
                <w:rFonts w:ascii="宋体" w:eastAsia="宋体" w:hAnsi="宋体" w:hint="eastAsia"/>
                <w:sz w:val="24"/>
              </w:rPr>
              <w:t>评分项目</w:t>
            </w:r>
          </w:p>
        </w:tc>
        <w:tc>
          <w:tcPr>
            <w:tcW w:w="1134" w:type="dxa"/>
            <w:tcBorders/>
            <w:vAlign w:val="center"/>
          </w:tcPr>
          <w:p>
            <w:pPr>
              <w:pStyle w:val="style0"/>
              <w:spacing w:lineRule="auto" w:line="360"/>
              <w:jc w:val="center"/>
              <w:rPr>
                <w:rFonts w:ascii="宋体" w:eastAsia="宋体" w:hAnsi="宋体"/>
                <w:sz w:val="24"/>
              </w:rPr>
            </w:pPr>
            <w:r>
              <w:rPr>
                <w:rFonts w:ascii="宋体" w:eastAsia="宋体" w:hAnsi="宋体" w:hint="eastAsia"/>
                <w:sz w:val="24"/>
              </w:rPr>
              <w:t>分</w:t>
            </w:r>
            <w:r>
              <w:rPr>
                <w:rFonts w:ascii="宋体" w:eastAsia="宋体" w:hAnsi="宋体"/>
                <w:sz w:val="24"/>
              </w:rPr>
              <w:t>值</w:t>
            </w:r>
          </w:p>
        </w:tc>
        <w:tc>
          <w:tcPr>
            <w:tcW w:w="2835" w:type="dxa"/>
            <w:tcBorders/>
            <w:vAlign w:val="center"/>
          </w:tcPr>
          <w:p>
            <w:pPr>
              <w:pStyle w:val="style0"/>
              <w:spacing w:lineRule="auto" w:line="360"/>
              <w:jc w:val="center"/>
              <w:rPr>
                <w:rFonts w:ascii="宋体" w:eastAsia="宋体" w:hAnsi="宋体"/>
                <w:sz w:val="24"/>
              </w:rPr>
            </w:pPr>
            <w:r>
              <w:rPr>
                <w:rFonts w:ascii="宋体" w:eastAsia="宋体" w:hAnsi="宋体" w:hint="eastAsia"/>
                <w:sz w:val="24"/>
              </w:rPr>
              <w:t>评分</w:t>
            </w:r>
            <w:r>
              <w:rPr>
                <w:rFonts w:ascii="宋体" w:eastAsia="宋体" w:hAnsi="宋体"/>
                <w:sz w:val="24"/>
              </w:rPr>
              <w:t>标准</w:t>
            </w:r>
          </w:p>
        </w:tc>
        <w:tc>
          <w:tcPr>
            <w:tcW w:w="865" w:type="dxa"/>
            <w:tcBorders/>
          </w:tcPr>
          <w:p>
            <w:pPr>
              <w:pStyle w:val="style0"/>
              <w:spacing w:lineRule="auto" w:line="360"/>
              <w:jc w:val="center"/>
              <w:rPr>
                <w:rFonts w:ascii="宋体" w:eastAsia="宋体" w:hAnsi="宋体"/>
                <w:sz w:val="24"/>
              </w:rPr>
            </w:pPr>
            <w:r>
              <w:rPr>
                <w:rFonts w:ascii="宋体" w:eastAsia="宋体" w:hAnsi="宋体" w:hint="eastAsia"/>
                <w:sz w:val="24"/>
              </w:rPr>
              <w:t>评分</w:t>
            </w:r>
          </w:p>
        </w:tc>
        <w:tc>
          <w:tcPr>
            <w:tcW w:w="1340" w:type="dxa"/>
            <w:tcBorders/>
          </w:tcPr>
          <w:p>
            <w:pPr>
              <w:pStyle w:val="style0"/>
              <w:spacing w:lineRule="auto" w:line="360"/>
              <w:jc w:val="center"/>
              <w:rPr>
                <w:rFonts w:ascii="宋体" w:eastAsia="宋体" w:hAnsi="宋体"/>
                <w:sz w:val="24"/>
              </w:rPr>
            </w:pPr>
            <w:r>
              <w:rPr>
                <w:rFonts w:ascii="宋体" w:eastAsia="宋体" w:hAnsi="宋体" w:hint="eastAsia"/>
                <w:sz w:val="24"/>
              </w:rPr>
              <w:t>备注</w:t>
            </w:r>
          </w:p>
        </w:tc>
      </w:tr>
      <w:tr>
        <w:tblPrEx/>
        <w:trPr>
          <w:jc w:val="center"/>
        </w:trPr>
        <w:tc>
          <w:tcPr>
            <w:tcW w:w="704" w:type="dxa"/>
            <w:tcBorders/>
          </w:tcPr>
          <w:p>
            <w:pPr>
              <w:pStyle w:val="style0"/>
              <w:spacing w:lineRule="auto" w:line="360"/>
              <w:jc w:val="center"/>
              <w:rPr>
                <w:rFonts w:ascii="宋体" w:eastAsia="宋体" w:hAnsi="宋体"/>
                <w:sz w:val="24"/>
              </w:rPr>
            </w:pPr>
            <w:r>
              <w:rPr>
                <w:rFonts w:ascii="宋体" w:eastAsia="宋体" w:hAnsi="宋体" w:hint="eastAsia"/>
                <w:sz w:val="24"/>
              </w:rPr>
              <w:t>1</w:t>
            </w:r>
          </w:p>
        </w:tc>
        <w:tc>
          <w:tcPr>
            <w:tcW w:w="1418" w:type="dxa"/>
            <w:tcBorders/>
            <w:vAlign w:val="center"/>
          </w:tcPr>
          <w:p>
            <w:pPr>
              <w:pStyle w:val="style0"/>
              <w:spacing w:lineRule="auto" w:line="360"/>
              <w:rPr>
                <w:rFonts w:ascii="宋体" w:eastAsia="宋体" w:hAnsi="宋体"/>
                <w:sz w:val="24"/>
              </w:rPr>
            </w:pPr>
            <w:r>
              <w:rPr>
                <w:rFonts w:ascii="宋体" w:eastAsia="宋体" w:hAnsi="宋体" w:hint="eastAsia"/>
                <w:sz w:val="24"/>
              </w:rPr>
              <w:t>供货商优势</w:t>
            </w:r>
          </w:p>
        </w:tc>
        <w:tc>
          <w:tcPr>
            <w:tcW w:w="1134" w:type="dxa"/>
            <w:tcBorders/>
            <w:vAlign w:val="center"/>
          </w:tcPr>
          <w:p>
            <w:pPr>
              <w:pStyle w:val="style0"/>
              <w:spacing w:lineRule="auto" w:line="360"/>
              <w:jc w:val="center"/>
              <w:rPr>
                <w:rFonts w:ascii="宋体" w:eastAsia="宋体" w:hAnsi="宋体"/>
                <w:sz w:val="24"/>
              </w:rPr>
            </w:pPr>
            <w:r>
              <w:rPr>
                <w:rFonts w:ascii="宋体" w:eastAsia="宋体" w:hAnsi="宋体" w:hint="eastAsia"/>
                <w:sz w:val="24"/>
              </w:rPr>
              <w:t>20</w:t>
            </w:r>
          </w:p>
        </w:tc>
        <w:tc>
          <w:tcPr>
            <w:tcW w:w="2835" w:type="dxa"/>
            <w:tcBorders/>
            <w:vAlign w:val="center"/>
          </w:tcPr>
          <w:p>
            <w:pPr>
              <w:pStyle w:val="style0"/>
              <w:spacing w:lineRule="auto" w:line="360"/>
              <w:jc w:val="left"/>
              <w:rPr>
                <w:rFonts w:ascii="宋体" w:eastAsia="宋体" w:hAnsi="宋体"/>
                <w:sz w:val="24"/>
              </w:rPr>
            </w:pPr>
            <w:r>
              <w:rPr>
                <w:rFonts w:ascii="宋体" w:eastAsia="宋体" w:hAnsi="宋体" w:hint="eastAsia"/>
                <w:sz w:val="24"/>
              </w:rPr>
              <w:t>从注册资金、品牌知名度、</w:t>
            </w:r>
            <w:r>
              <w:rPr>
                <w:rFonts w:ascii="宋体" w:eastAsia="宋体" w:hAnsi="宋体"/>
                <w:sz w:val="24"/>
              </w:rPr>
              <w:t>种类、产地等比较各供货商优势</w:t>
            </w:r>
            <w:r>
              <w:rPr>
                <w:rFonts w:ascii="宋体" w:eastAsia="宋体" w:hAnsi="宋体" w:hint="eastAsia"/>
                <w:sz w:val="24"/>
              </w:rPr>
              <w:t>。</w:t>
            </w:r>
          </w:p>
        </w:tc>
        <w:tc>
          <w:tcPr>
            <w:tcW w:w="865" w:type="dxa"/>
            <w:tcBorders/>
          </w:tcPr>
          <w:p>
            <w:pPr>
              <w:pStyle w:val="style0"/>
              <w:spacing w:lineRule="auto" w:line="360"/>
              <w:jc w:val="left"/>
              <w:rPr>
                <w:rFonts w:ascii="宋体" w:eastAsia="宋体" w:hAnsi="宋体"/>
                <w:sz w:val="24"/>
              </w:rPr>
            </w:pPr>
          </w:p>
        </w:tc>
        <w:tc>
          <w:tcPr>
            <w:tcW w:w="1340" w:type="dxa"/>
            <w:tcBorders/>
          </w:tcPr>
          <w:p>
            <w:pPr>
              <w:pStyle w:val="style0"/>
              <w:spacing w:lineRule="auto" w:line="360"/>
              <w:rPr>
                <w:rFonts w:ascii="宋体" w:eastAsia="宋体" w:hAnsi="宋体"/>
                <w:sz w:val="24"/>
              </w:rPr>
            </w:pPr>
          </w:p>
        </w:tc>
      </w:tr>
      <w:tr>
        <w:tblPrEx/>
        <w:trPr>
          <w:jc w:val="center"/>
        </w:trPr>
        <w:tc>
          <w:tcPr>
            <w:tcW w:w="704" w:type="dxa"/>
            <w:tcBorders/>
          </w:tcPr>
          <w:p>
            <w:pPr>
              <w:pStyle w:val="style0"/>
              <w:spacing w:lineRule="auto" w:line="360"/>
              <w:jc w:val="center"/>
              <w:rPr>
                <w:rFonts w:ascii="宋体" w:eastAsia="宋体" w:hAnsi="宋体"/>
                <w:sz w:val="24"/>
              </w:rPr>
            </w:pPr>
            <w:r>
              <w:rPr>
                <w:rFonts w:ascii="宋体" w:eastAsia="宋体" w:hAnsi="宋体" w:hint="eastAsia"/>
                <w:sz w:val="24"/>
              </w:rPr>
              <w:t>2</w:t>
            </w:r>
          </w:p>
        </w:tc>
        <w:tc>
          <w:tcPr>
            <w:tcW w:w="1418" w:type="dxa"/>
            <w:tcBorders/>
            <w:vAlign w:val="center"/>
          </w:tcPr>
          <w:p>
            <w:pPr>
              <w:pStyle w:val="style0"/>
              <w:rPr>
                <w:rFonts w:ascii="宋体" w:eastAsia="宋体" w:hAnsi="宋体"/>
                <w:sz w:val="24"/>
              </w:rPr>
            </w:pPr>
            <w:r>
              <w:rPr>
                <w:rFonts w:ascii="宋体" w:eastAsia="宋体" w:hAnsi="宋体" w:hint="eastAsia"/>
                <w:sz w:val="24"/>
              </w:rPr>
              <w:t>质量</w:t>
            </w:r>
          </w:p>
        </w:tc>
        <w:tc>
          <w:tcPr>
            <w:tcW w:w="1134" w:type="dxa"/>
            <w:tcBorders/>
            <w:vAlign w:val="center"/>
          </w:tcPr>
          <w:p>
            <w:pPr>
              <w:pStyle w:val="style0"/>
              <w:spacing w:lineRule="auto" w:line="360"/>
              <w:jc w:val="center"/>
              <w:rPr>
                <w:rFonts w:ascii="宋体" w:eastAsia="宋体" w:hAnsi="宋体"/>
                <w:sz w:val="24"/>
              </w:rPr>
            </w:pPr>
            <w:r>
              <w:rPr>
                <w:rFonts w:ascii="宋体" w:eastAsia="宋体" w:hAnsi="宋体" w:hint="eastAsia"/>
                <w:sz w:val="24"/>
              </w:rPr>
              <w:t>30</w:t>
            </w:r>
          </w:p>
        </w:tc>
        <w:tc>
          <w:tcPr>
            <w:tcW w:w="2835" w:type="dxa"/>
            <w:tcBorders/>
            <w:vAlign w:val="center"/>
          </w:tcPr>
          <w:p>
            <w:pPr>
              <w:pStyle w:val="style0"/>
              <w:spacing w:lineRule="auto" w:line="360"/>
              <w:jc w:val="left"/>
              <w:rPr>
                <w:rFonts w:ascii="宋体" w:eastAsia="宋体" w:hAnsi="宋体"/>
                <w:sz w:val="24"/>
              </w:rPr>
            </w:pPr>
            <w:r>
              <w:rPr>
                <w:rFonts w:ascii="宋体" w:eastAsia="宋体" w:hAnsi="宋体" w:hint="eastAsia"/>
                <w:sz w:val="24"/>
              </w:rPr>
              <w:t>根据供货商提供的样品进行比较。</w:t>
            </w:r>
          </w:p>
        </w:tc>
        <w:tc>
          <w:tcPr>
            <w:tcW w:w="865" w:type="dxa"/>
            <w:tcBorders/>
          </w:tcPr>
          <w:p>
            <w:pPr>
              <w:pStyle w:val="style0"/>
              <w:spacing w:lineRule="auto" w:line="360"/>
              <w:jc w:val="left"/>
              <w:rPr>
                <w:rFonts w:ascii="宋体" w:eastAsia="宋体" w:hAnsi="宋体"/>
                <w:sz w:val="24"/>
              </w:rPr>
            </w:pPr>
          </w:p>
        </w:tc>
        <w:tc>
          <w:tcPr>
            <w:tcW w:w="1340" w:type="dxa"/>
            <w:tcBorders/>
          </w:tcPr>
          <w:p>
            <w:pPr>
              <w:pStyle w:val="style0"/>
              <w:spacing w:lineRule="auto" w:line="360"/>
              <w:rPr>
                <w:rFonts w:ascii="宋体" w:eastAsia="宋体" w:hAnsi="宋体"/>
                <w:sz w:val="24"/>
              </w:rPr>
            </w:pPr>
          </w:p>
        </w:tc>
      </w:tr>
      <w:tr>
        <w:tblPrEx/>
        <w:trPr>
          <w:jc w:val="center"/>
        </w:trPr>
        <w:tc>
          <w:tcPr>
            <w:tcW w:w="704" w:type="dxa"/>
            <w:tcBorders/>
          </w:tcPr>
          <w:p>
            <w:pPr>
              <w:pStyle w:val="style0"/>
              <w:spacing w:lineRule="auto" w:line="360"/>
              <w:jc w:val="center"/>
              <w:rPr>
                <w:rFonts w:ascii="宋体" w:eastAsia="宋体" w:hAnsi="宋体"/>
                <w:sz w:val="24"/>
              </w:rPr>
            </w:pPr>
            <w:r>
              <w:rPr>
                <w:rFonts w:ascii="宋体" w:eastAsia="宋体" w:hAnsi="宋体" w:hint="eastAsia"/>
                <w:sz w:val="24"/>
              </w:rPr>
              <w:t>3</w:t>
            </w:r>
          </w:p>
        </w:tc>
        <w:tc>
          <w:tcPr>
            <w:tcW w:w="1418" w:type="dxa"/>
            <w:tcBorders/>
            <w:vAlign w:val="center"/>
          </w:tcPr>
          <w:p>
            <w:pPr>
              <w:pStyle w:val="style0"/>
              <w:rPr>
                <w:rFonts w:ascii="宋体" w:eastAsia="宋体" w:hAnsi="宋体"/>
                <w:sz w:val="24"/>
              </w:rPr>
            </w:pPr>
            <w:r>
              <w:rPr>
                <w:rFonts w:ascii="宋体" w:eastAsia="宋体" w:hAnsi="宋体" w:hint="eastAsia"/>
                <w:sz w:val="24"/>
              </w:rPr>
              <w:t>报价</w:t>
            </w:r>
          </w:p>
        </w:tc>
        <w:tc>
          <w:tcPr>
            <w:tcW w:w="1134" w:type="dxa"/>
            <w:tcBorders/>
            <w:vAlign w:val="center"/>
          </w:tcPr>
          <w:p>
            <w:pPr>
              <w:pStyle w:val="style0"/>
              <w:spacing w:lineRule="auto" w:line="360"/>
              <w:jc w:val="center"/>
              <w:rPr>
                <w:rFonts w:ascii="宋体" w:eastAsia="宋体" w:hAnsi="宋体"/>
                <w:sz w:val="24"/>
              </w:rPr>
            </w:pPr>
            <w:r>
              <w:rPr>
                <w:rFonts w:ascii="宋体" w:eastAsia="宋体" w:hAnsi="宋体" w:hint="eastAsia"/>
                <w:sz w:val="24"/>
              </w:rPr>
              <w:t>30</w:t>
            </w:r>
          </w:p>
        </w:tc>
        <w:tc>
          <w:tcPr>
            <w:tcW w:w="2835" w:type="dxa"/>
            <w:tcBorders/>
            <w:vAlign w:val="center"/>
          </w:tcPr>
          <w:p>
            <w:pPr>
              <w:pStyle w:val="style0"/>
              <w:spacing w:lineRule="auto" w:line="360"/>
              <w:jc w:val="left"/>
              <w:rPr>
                <w:rFonts w:ascii="宋体" w:eastAsia="宋体" w:hAnsi="宋体"/>
                <w:sz w:val="24"/>
              </w:rPr>
            </w:pPr>
            <w:r>
              <w:rPr>
                <w:rFonts w:ascii="宋体" w:eastAsia="宋体" w:hAnsi="宋体"/>
                <w:sz w:val="24"/>
              </w:rPr>
              <w:t>1.根据财政部财库[2007]2号文件规定,综合评分法中的价格分统一采用低价优先法计算，即满足招标文件要求且投标价格最低的投标报价为基准价，其价格分为满分30分</w:t>
            </w:r>
            <w:r>
              <w:rPr>
                <w:rFonts w:ascii="宋体" w:eastAsia="宋体" w:hAnsi="宋体" w:hint="eastAsia"/>
                <w:sz w:val="24"/>
              </w:rPr>
              <w:t>；</w:t>
            </w:r>
          </w:p>
          <w:p>
            <w:pPr>
              <w:pStyle w:val="style0"/>
              <w:spacing w:lineRule="auto" w:line="360"/>
              <w:jc w:val="left"/>
              <w:rPr>
                <w:rFonts w:ascii="宋体" w:eastAsia="宋体" w:hAnsi="宋体"/>
                <w:sz w:val="24"/>
              </w:rPr>
            </w:pPr>
            <w:r>
              <w:rPr>
                <w:rFonts w:ascii="宋体" w:eastAsia="宋体" w:hAnsi="宋体"/>
                <w:sz w:val="24"/>
              </w:rPr>
              <w:t>2.其他投标单位的投标报价得分计算公式如下:</w:t>
            </w:r>
          </w:p>
          <w:p>
            <w:pPr>
              <w:pStyle w:val="style0"/>
              <w:spacing w:lineRule="auto" w:line="360"/>
              <w:jc w:val="left"/>
              <w:rPr>
                <w:rFonts w:ascii="宋体" w:eastAsia="宋体" w:hAnsi="宋体"/>
                <w:sz w:val="24"/>
              </w:rPr>
            </w:pPr>
            <w:r>
              <w:rPr>
                <w:rFonts w:ascii="宋体" w:eastAsia="宋体" w:hAnsi="宋体" w:hint="eastAsia"/>
                <w:sz w:val="24"/>
              </w:rPr>
              <w:t>投标报价得分</w:t>
            </w:r>
            <w:r>
              <w:rPr>
                <w:rFonts w:ascii="宋体" w:eastAsia="宋体" w:hAnsi="宋体"/>
                <w:sz w:val="24"/>
              </w:rPr>
              <w:t>=(评标基准价/投标报价)*价格权值x100</w:t>
            </w:r>
            <w:r>
              <w:rPr>
                <w:rFonts w:ascii="宋体" w:eastAsia="宋体" w:hAnsi="宋体" w:hint="eastAsia"/>
                <w:sz w:val="24"/>
              </w:rPr>
              <w:t>。</w:t>
            </w:r>
          </w:p>
        </w:tc>
        <w:tc>
          <w:tcPr>
            <w:tcW w:w="865" w:type="dxa"/>
            <w:tcBorders/>
          </w:tcPr>
          <w:p>
            <w:pPr>
              <w:pStyle w:val="style0"/>
              <w:spacing w:lineRule="auto" w:line="360"/>
              <w:jc w:val="left"/>
              <w:rPr>
                <w:rFonts w:ascii="宋体" w:eastAsia="宋体" w:hAnsi="宋体"/>
                <w:sz w:val="24"/>
              </w:rPr>
            </w:pPr>
          </w:p>
        </w:tc>
        <w:tc>
          <w:tcPr>
            <w:tcW w:w="1340" w:type="dxa"/>
            <w:tcBorders/>
          </w:tcPr>
          <w:p>
            <w:pPr>
              <w:pStyle w:val="style0"/>
              <w:spacing w:lineRule="auto" w:line="360"/>
              <w:rPr>
                <w:rFonts w:ascii="宋体" w:eastAsia="宋体" w:hAnsi="宋体"/>
                <w:sz w:val="24"/>
              </w:rPr>
            </w:pPr>
          </w:p>
        </w:tc>
      </w:tr>
      <w:tr>
        <w:tblPrEx/>
        <w:trPr>
          <w:jc w:val="center"/>
        </w:trPr>
        <w:tc>
          <w:tcPr>
            <w:tcW w:w="704" w:type="dxa"/>
            <w:tcBorders/>
          </w:tcPr>
          <w:p>
            <w:pPr>
              <w:pStyle w:val="style0"/>
              <w:spacing w:lineRule="auto" w:line="360"/>
              <w:jc w:val="center"/>
              <w:rPr>
                <w:rFonts w:ascii="宋体" w:eastAsia="宋体" w:hAnsi="宋体"/>
                <w:sz w:val="24"/>
              </w:rPr>
            </w:pPr>
            <w:r>
              <w:rPr>
                <w:rFonts w:ascii="宋体" w:eastAsia="宋体" w:hAnsi="宋体" w:hint="eastAsia"/>
                <w:sz w:val="24"/>
              </w:rPr>
              <w:t>4</w:t>
            </w:r>
          </w:p>
        </w:tc>
        <w:tc>
          <w:tcPr>
            <w:tcW w:w="1418" w:type="dxa"/>
            <w:tcBorders/>
            <w:vAlign w:val="center"/>
          </w:tcPr>
          <w:p>
            <w:pPr>
              <w:pStyle w:val="style0"/>
              <w:rPr>
                <w:rFonts w:ascii="宋体" w:eastAsia="宋体" w:hAnsi="宋体"/>
                <w:sz w:val="24"/>
              </w:rPr>
            </w:pPr>
            <w:r>
              <w:rPr>
                <w:rFonts w:ascii="宋体" w:eastAsia="宋体" w:hAnsi="宋体" w:hint="eastAsia"/>
                <w:sz w:val="24"/>
              </w:rPr>
              <w:t>服务方案</w:t>
            </w:r>
          </w:p>
          <w:p>
            <w:pPr>
              <w:pStyle w:val="style0"/>
              <w:spacing w:lineRule="auto" w:line="360"/>
              <w:rPr>
                <w:rFonts w:ascii="宋体" w:eastAsia="宋体" w:hAnsi="宋体"/>
                <w:sz w:val="24"/>
              </w:rPr>
            </w:pPr>
          </w:p>
        </w:tc>
        <w:tc>
          <w:tcPr>
            <w:tcW w:w="1134" w:type="dxa"/>
            <w:tcBorders/>
            <w:vAlign w:val="center"/>
          </w:tcPr>
          <w:p>
            <w:pPr>
              <w:pStyle w:val="style0"/>
              <w:spacing w:lineRule="auto" w:line="360"/>
              <w:jc w:val="center"/>
              <w:rPr>
                <w:rFonts w:ascii="宋体" w:eastAsia="宋体" w:hAnsi="宋体"/>
                <w:sz w:val="24"/>
              </w:rPr>
            </w:pPr>
            <w:r>
              <w:rPr>
                <w:rFonts w:ascii="宋体" w:eastAsia="宋体" w:hAnsi="宋体" w:hint="eastAsia"/>
                <w:sz w:val="24"/>
              </w:rPr>
              <w:t>20</w:t>
            </w:r>
          </w:p>
        </w:tc>
        <w:tc>
          <w:tcPr>
            <w:tcW w:w="2835" w:type="dxa"/>
            <w:tcBorders/>
            <w:vAlign w:val="center"/>
          </w:tcPr>
          <w:p>
            <w:pPr>
              <w:pStyle w:val="style0"/>
              <w:spacing w:lineRule="auto" w:line="360"/>
              <w:jc w:val="left"/>
              <w:rPr>
                <w:rFonts w:ascii="宋体" w:eastAsia="宋体" w:hAnsi="宋体"/>
                <w:sz w:val="24"/>
              </w:rPr>
            </w:pPr>
            <w:r>
              <w:rPr>
                <w:rFonts w:ascii="宋体" w:eastAsia="宋体" w:hAnsi="宋体" w:hint="eastAsia"/>
                <w:sz w:val="24"/>
              </w:rPr>
              <w:t>根据工会的要求和供货商服务承诺。</w:t>
            </w:r>
          </w:p>
        </w:tc>
        <w:tc>
          <w:tcPr>
            <w:tcW w:w="865" w:type="dxa"/>
            <w:tcBorders/>
          </w:tcPr>
          <w:p>
            <w:pPr>
              <w:pStyle w:val="style0"/>
              <w:spacing w:lineRule="auto" w:line="360"/>
              <w:jc w:val="left"/>
              <w:rPr>
                <w:rFonts w:ascii="宋体" w:eastAsia="宋体" w:hAnsi="宋体"/>
                <w:sz w:val="24"/>
              </w:rPr>
            </w:pPr>
          </w:p>
        </w:tc>
        <w:tc>
          <w:tcPr>
            <w:tcW w:w="1340" w:type="dxa"/>
            <w:tcBorders/>
          </w:tcPr>
          <w:p>
            <w:pPr>
              <w:pStyle w:val="style0"/>
              <w:spacing w:lineRule="auto" w:line="360"/>
              <w:rPr>
                <w:rFonts w:ascii="宋体" w:eastAsia="宋体" w:hAnsi="宋体"/>
                <w:sz w:val="24"/>
              </w:rPr>
            </w:pPr>
          </w:p>
        </w:tc>
      </w:tr>
      <w:tr>
        <w:tblPrEx/>
        <w:trPr>
          <w:jc w:val="center"/>
        </w:trPr>
        <w:tc>
          <w:tcPr>
            <w:tcW w:w="2122" w:type="dxa"/>
            <w:gridSpan w:val="2"/>
            <w:tcBorders/>
          </w:tcPr>
          <w:p>
            <w:pPr>
              <w:pStyle w:val="style0"/>
              <w:spacing w:lineRule="auto" w:line="360"/>
              <w:jc w:val="center"/>
              <w:rPr>
                <w:rFonts w:ascii="宋体" w:eastAsia="宋体" w:hAnsi="宋体"/>
                <w:sz w:val="24"/>
              </w:rPr>
            </w:pPr>
            <w:r>
              <w:rPr>
                <w:rFonts w:ascii="宋体" w:eastAsia="宋体" w:hAnsi="宋体" w:hint="eastAsia"/>
                <w:sz w:val="24"/>
              </w:rPr>
              <w:t>合计</w:t>
            </w:r>
          </w:p>
        </w:tc>
        <w:tc>
          <w:tcPr>
            <w:tcW w:w="1134" w:type="dxa"/>
            <w:tcBorders/>
            <w:vAlign w:val="center"/>
          </w:tcPr>
          <w:p>
            <w:pPr>
              <w:pStyle w:val="style0"/>
              <w:spacing w:lineRule="auto" w:line="360"/>
              <w:jc w:val="center"/>
              <w:rPr>
                <w:rFonts w:ascii="宋体" w:eastAsia="宋体" w:hAnsi="宋体"/>
                <w:sz w:val="24"/>
              </w:rPr>
            </w:pPr>
            <w:r>
              <w:rPr>
                <w:rFonts w:ascii="宋体" w:eastAsia="宋体" w:hAnsi="宋体" w:hint="eastAsia"/>
                <w:sz w:val="24"/>
              </w:rPr>
              <w:t>100</w:t>
            </w:r>
          </w:p>
        </w:tc>
        <w:tc>
          <w:tcPr>
            <w:tcW w:w="2835" w:type="dxa"/>
            <w:tcBorders/>
            <w:vAlign w:val="center"/>
          </w:tcPr>
          <w:p>
            <w:pPr>
              <w:pStyle w:val="style0"/>
              <w:spacing w:lineRule="auto" w:line="360"/>
              <w:jc w:val="center"/>
              <w:rPr>
                <w:rFonts w:ascii="宋体" w:eastAsia="宋体" w:hAnsi="宋体"/>
                <w:sz w:val="24"/>
              </w:rPr>
            </w:pPr>
          </w:p>
        </w:tc>
        <w:tc>
          <w:tcPr>
            <w:tcW w:w="865" w:type="dxa"/>
            <w:tcBorders/>
          </w:tcPr>
          <w:p>
            <w:pPr>
              <w:pStyle w:val="style0"/>
              <w:spacing w:lineRule="auto" w:line="360"/>
              <w:rPr>
                <w:rFonts w:ascii="宋体" w:eastAsia="宋体" w:hAnsi="宋体"/>
                <w:sz w:val="24"/>
              </w:rPr>
            </w:pPr>
          </w:p>
        </w:tc>
        <w:tc>
          <w:tcPr>
            <w:tcW w:w="1340" w:type="dxa"/>
            <w:tcBorders/>
          </w:tcPr>
          <w:p>
            <w:pPr>
              <w:pStyle w:val="style0"/>
              <w:spacing w:lineRule="auto" w:line="360"/>
              <w:rPr>
                <w:rFonts w:ascii="宋体" w:eastAsia="宋体" w:hAnsi="宋体"/>
                <w:sz w:val="24"/>
              </w:rPr>
            </w:pPr>
          </w:p>
        </w:tc>
      </w:tr>
    </w:tbl>
    <w:p>
      <w:pPr>
        <w:pStyle w:val="style0"/>
        <w:rPr>
          <w:rFonts w:ascii="宋体" w:eastAsia="宋体" w:hAnsi="宋体"/>
          <w:sz w:val="24"/>
        </w:rPr>
      </w:pPr>
    </w:p>
    <w:p>
      <w:pPr>
        <w:pStyle w:val="style0"/>
        <w:spacing w:lineRule="auto" w:line="360"/>
        <w:rPr>
          <w:rFonts w:ascii="宋体" w:eastAsia="宋体" w:hAnsi="宋体"/>
          <w:sz w:val="24"/>
        </w:rPr>
      </w:pPr>
      <w:r>
        <w:rPr>
          <w:rFonts w:ascii="宋体" w:eastAsia="宋体" w:hAnsi="宋体" w:hint="eastAsia"/>
          <w:sz w:val="24"/>
        </w:rPr>
        <w:t>注</w:t>
      </w:r>
      <w:r>
        <w:rPr>
          <w:rFonts w:ascii="宋体" w:eastAsia="宋体" w:hAnsi="宋体"/>
          <w:sz w:val="24"/>
        </w:rPr>
        <w:t>:以上各项评分内容，如投标单位未提供相对应内容，评审专家组不受最低评分标准限制，可予以零分计算。</w:t>
      </w:r>
    </w:p>
    <w:p>
      <w:pPr>
        <w:pStyle w:val="style0"/>
        <w:spacing w:lineRule="auto" w:line="360"/>
        <w:rPr>
          <w:rFonts w:ascii="宋体" w:eastAsia="宋体" w:hAnsi="宋体"/>
          <w:sz w:val="24"/>
        </w:rPr>
      </w:pPr>
      <w:r>
        <w:rPr>
          <w:rFonts w:ascii="宋体" w:eastAsia="宋体" w:hAnsi="宋体" w:hint="eastAsia"/>
          <w:sz w:val="24"/>
        </w:rPr>
        <w:t>最终分</w:t>
      </w:r>
      <w:r>
        <w:rPr>
          <w:rFonts w:ascii="宋体" w:eastAsia="宋体" w:hAnsi="宋体"/>
          <w:sz w:val="24"/>
        </w:rPr>
        <w:t>值</w:t>
      </w:r>
      <w:r>
        <w:rPr>
          <w:rFonts w:ascii="宋体" w:eastAsia="宋体" w:hAnsi="宋体" w:hint="eastAsia"/>
          <w:sz w:val="24"/>
        </w:rPr>
        <w:t>计算</w:t>
      </w:r>
      <w:r>
        <w:rPr>
          <w:rFonts w:ascii="宋体" w:eastAsia="宋体" w:hAnsi="宋体"/>
          <w:sz w:val="24"/>
        </w:rPr>
        <w:t>方法：由评审专家组成员对每一份投标文件进行独立评分，然后取算术平均值(保留小数点两位)。</w:t>
      </w:r>
    </w:p>
    <w:p>
      <w:pPr>
        <w:pStyle w:val="style0"/>
        <w:spacing w:lineRule="auto" w:line="360"/>
        <w:ind w:firstLine="482" w:firstLineChars="200"/>
        <w:rPr>
          <w:rFonts w:ascii="宋体" w:eastAsia="宋体" w:hAnsi="宋体"/>
          <w:b/>
          <w:sz w:val="24"/>
        </w:rPr>
      </w:pPr>
      <w:r>
        <w:rPr>
          <w:rFonts w:ascii="宋体" w:eastAsia="宋体" w:hAnsi="宋体" w:hint="eastAsia"/>
          <w:b/>
          <w:sz w:val="24"/>
        </w:rPr>
        <w:t>五、标书要求</w:t>
      </w:r>
    </w:p>
    <w:p>
      <w:pPr>
        <w:pStyle w:val="style0"/>
        <w:spacing w:lineRule="auto" w:line="360"/>
        <w:ind w:firstLine="360" w:firstLineChars="150"/>
        <w:rPr>
          <w:rFonts w:ascii="宋体" w:eastAsia="宋体" w:hAnsi="宋体"/>
          <w:sz w:val="24"/>
        </w:rPr>
      </w:pPr>
      <w:r>
        <w:rPr>
          <w:rFonts w:ascii="宋体" w:eastAsia="宋体" w:hAnsi="宋体"/>
          <w:sz w:val="24"/>
        </w:rPr>
        <w:t xml:space="preserve"> 1</w:t>
      </w:r>
      <w:r>
        <w:rPr>
          <w:rFonts w:ascii="宋体" w:eastAsia="宋体" w:hAnsi="宋体" w:hint="eastAsia"/>
          <w:sz w:val="24"/>
        </w:rPr>
        <w:t>．</w:t>
      </w:r>
      <w:r>
        <w:rPr>
          <w:rFonts w:ascii="宋体" w:eastAsia="宋体" w:hAnsi="宋体"/>
          <w:sz w:val="24"/>
        </w:rPr>
        <w:t>标书一式</w:t>
      </w:r>
      <w:r>
        <w:rPr>
          <w:rFonts w:ascii="宋体" w:eastAsia="宋体" w:hAnsi="宋体" w:hint="eastAsia"/>
          <w:sz w:val="24"/>
        </w:rPr>
        <w:t>三</w:t>
      </w:r>
      <w:r>
        <w:rPr>
          <w:rFonts w:ascii="宋体" w:eastAsia="宋体" w:hAnsi="宋体"/>
          <w:sz w:val="24"/>
        </w:rPr>
        <w:t>份，标书包含但不限以下主要内容:</w:t>
      </w:r>
    </w:p>
    <w:p>
      <w:pPr>
        <w:pStyle w:val="style0"/>
        <w:spacing w:lineRule="auto" w:line="360"/>
        <w:rPr>
          <w:rFonts w:ascii="宋体" w:eastAsia="宋体" w:hAnsi="宋体"/>
          <w:sz w:val="24"/>
        </w:rPr>
      </w:pPr>
      <w:r>
        <w:rPr>
          <w:rFonts w:ascii="宋体" w:eastAsia="宋体" w:hAnsi="宋体"/>
          <w:sz w:val="24"/>
        </w:rPr>
        <w:t xml:space="preserve">    1)公司基本情况、各类资质证书、服务经历与案例</w:t>
      </w:r>
      <w:r>
        <w:rPr>
          <w:rFonts w:ascii="宋体" w:eastAsia="宋体" w:hAnsi="宋体" w:hint="eastAsia"/>
          <w:sz w:val="24"/>
        </w:rPr>
        <w:t>；</w:t>
      </w:r>
    </w:p>
    <w:p>
      <w:pPr>
        <w:pStyle w:val="style0"/>
        <w:spacing w:lineRule="auto" w:line="360"/>
        <w:rPr>
          <w:rFonts w:ascii="宋体" w:eastAsia="宋体" w:hAnsi="宋体"/>
          <w:sz w:val="24"/>
        </w:rPr>
      </w:pPr>
      <w:r>
        <w:rPr>
          <w:rFonts w:ascii="宋体" w:eastAsia="宋体" w:hAnsi="宋体"/>
          <w:sz w:val="24"/>
        </w:rPr>
        <w:t xml:space="preserve">    2)标书务必附上本年度年检的营业执照复印件、税务登记证复印件、法人证书复印件、法定代表人授权书及委托人身份证复印件</w:t>
      </w:r>
      <w:r>
        <w:rPr>
          <w:rFonts w:ascii="宋体" w:eastAsia="宋体" w:hAnsi="宋体" w:hint="eastAsia"/>
          <w:sz w:val="24"/>
          <w:lang w:eastAsia="zh-CN"/>
        </w:rPr>
        <w:t>、</w:t>
      </w:r>
      <w:r>
        <w:rPr>
          <w:rFonts w:ascii="宋体" w:eastAsia="宋体" w:hAnsi="宋体"/>
          <w:sz w:val="24"/>
        </w:rPr>
        <w:t>品牌代理销售证书(或厂家授权证书)等有效资质证明</w:t>
      </w:r>
      <w:r>
        <w:rPr>
          <w:rFonts w:ascii="宋体" w:eastAsia="宋体" w:hAnsi="宋体" w:hint="eastAsia"/>
          <w:sz w:val="24"/>
        </w:rPr>
        <w:t>；</w:t>
      </w:r>
      <w:r>
        <w:rPr>
          <w:rFonts w:ascii="宋体" w:eastAsia="宋体" w:hAnsi="宋体"/>
          <w:sz w:val="24"/>
        </w:rPr>
        <w:t>以上复印件</w:t>
      </w:r>
      <w:r>
        <w:rPr>
          <w:rFonts w:ascii="宋体" w:eastAsia="宋体" w:hAnsi="宋体" w:hint="eastAsia"/>
          <w:sz w:val="24"/>
        </w:rPr>
        <w:t>需加盖公司公章。</w:t>
      </w:r>
    </w:p>
    <w:p>
      <w:pPr>
        <w:pStyle w:val="style0"/>
        <w:spacing w:lineRule="auto" w:line="360"/>
        <w:rPr>
          <w:rFonts w:ascii="宋体" w:eastAsia="宋体" w:hAnsi="宋体"/>
          <w:sz w:val="24"/>
        </w:rPr>
      </w:pPr>
      <w:r>
        <w:rPr>
          <w:rFonts w:ascii="宋体" w:eastAsia="宋体" w:hAnsi="宋体"/>
          <w:sz w:val="24"/>
        </w:rPr>
        <w:t xml:space="preserve">    3)货物种类、报价(详见附件表格)</w:t>
      </w:r>
      <w:r>
        <w:rPr>
          <w:rFonts w:ascii="宋体" w:eastAsia="宋体" w:hAnsi="宋体" w:hint="eastAsia"/>
          <w:sz w:val="24"/>
        </w:rPr>
        <w:t>。</w:t>
      </w:r>
      <w:bookmarkStart w:id="0" w:name="_GoBack"/>
      <w:bookmarkEnd w:id="0"/>
    </w:p>
    <w:p>
      <w:pPr>
        <w:pStyle w:val="style0"/>
        <w:spacing w:lineRule="auto" w:line="360"/>
        <w:rPr>
          <w:rFonts w:ascii="宋体" w:eastAsia="宋体" w:hAnsi="宋体"/>
          <w:sz w:val="24"/>
        </w:rPr>
      </w:pPr>
      <w:r>
        <w:rPr>
          <w:rFonts w:ascii="宋体" w:eastAsia="宋体" w:hAnsi="宋体"/>
          <w:sz w:val="24"/>
        </w:rPr>
        <w:t xml:space="preserve">    4)提供商品的货源产地证明等</w:t>
      </w:r>
      <w:r>
        <w:rPr>
          <w:rFonts w:ascii="宋体" w:eastAsia="宋体" w:hAnsi="宋体" w:hint="eastAsia"/>
          <w:sz w:val="24"/>
        </w:rPr>
        <w:t>。</w:t>
      </w:r>
    </w:p>
    <w:p>
      <w:pPr>
        <w:pStyle w:val="style0"/>
        <w:spacing w:lineRule="auto" w:line="360"/>
        <w:ind w:firstLine="480" w:firstLineChars="200"/>
        <w:rPr>
          <w:rFonts w:ascii="宋体" w:eastAsia="宋体" w:hAnsi="宋体"/>
          <w:sz w:val="24"/>
        </w:rPr>
      </w:pPr>
      <w:r>
        <w:rPr>
          <w:rFonts w:ascii="宋体" w:eastAsia="宋体" w:hAnsi="宋体"/>
          <w:sz w:val="24"/>
        </w:rPr>
        <w:t>5)服务承诺</w:t>
      </w:r>
      <w:r>
        <w:rPr>
          <w:rFonts w:ascii="宋体" w:eastAsia="宋体" w:hAnsi="宋体" w:hint="eastAsia"/>
          <w:sz w:val="24"/>
        </w:rPr>
        <w:t>。</w:t>
      </w:r>
    </w:p>
    <w:p>
      <w:pPr>
        <w:pStyle w:val="style0"/>
        <w:spacing w:lineRule="auto" w:line="360"/>
        <w:ind w:firstLine="480" w:firstLineChars="200"/>
        <w:rPr>
          <w:rFonts w:ascii="宋体" w:eastAsia="宋体" w:hAnsi="宋体"/>
          <w:sz w:val="24"/>
        </w:rPr>
      </w:pPr>
      <w:r>
        <w:rPr>
          <w:rFonts w:ascii="宋体" w:eastAsia="宋体" w:hAnsi="宋体"/>
          <w:sz w:val="24"/>
        </w:rPr>
        <w:t>2</w:t>
      </w:r>
      <w:r>
        <w:rPr>
          <w:rFonts w:ascii="宋体" w:eastAsia="宋体" w:hAnsi="宋体" w:hint="eastAsia"/>
          <w:sz w:val="24"/>
        </w:rPr>
        <w:t>．</w:t>
      </w:r>
      <w:r>
        <w:rPr>
          <w:rFonts w:ascii="宋体" w:eastAsia="宋体" w:hAnsi="宋体"/>
          <w:sz w:val="24"/>
        </w:rPr>
        <w:t>投标截止日期: 2020年1月5日下午</w:t>
      </w:r>
      <w:r>
        <w:rPr>
          <w:rFonts w:ascii="宋体" w:eastAsia="宋体" w:hAnsi="宋体" w:hint="eastAsia"/>
          <w:sz w:val="24"/>
        </w:rPr>
        <w:t>5</w:t>
      </w:r>
      <w:r>
        <w:rPr>
          <w:rFonts w:ascii="宋体" w:eastAsia="宋体" w:hAnsi="宋体"/>
          <w:sz w:val="24"/>
        </w:rPr>
        <w:t>点</w:t>
      </w:r>
    </w:p>
    <w:p>
      <w:pPr>
        <w:pStyle w:val="style0"/>
        <w:spacing w:lineRule="auto" w:line="360"/>
        <w:ind w:firstLine="480" w:firstLineChars="200"/>
        <w:rPr>
          <w:rFonts w:ascii="宋体" w:eastAsia="宋体" w:hAnsi="宋体"/>
          <w:sz w:val="24"/>
        </w:rPr>
      </w:pPr>
      <w:r>
        <w:rPr>
          <w:rFonts w:ascii="宋体" w:eastAsia="宋体" w:hAnsi="宋体"/>
          <w:sz w:val="24"/>
        </w:rPr>
        <w:t>3</w:t>
      </w:r>
      <w:r>
        <w:rPr>
          <w:rFonts w:ascii="宋体" w:eastAsia="宋体" w:hAnsi="宋体" w:hint="eastAsia"/>
          <w:sz w:val="24"/>
        </w:rPr>
        <w:t>．</w:t>
      </w:r>
      <w:r>
        <w:rPr>
          <w:rFonts w:ascii="宋体" w:eastAsia="宋体" w:hAnsi="宋体"/>
          <w:sz w:val="24"/>
        </w:rPr>
        <w:t>评审时间:另行通知</w:t>
      </w:r>
      <w:r>
        <w:rPr>
          <w:rFonts w:ascii="宋体" w:eastAsia="宋体" w:hAnsi="宋体" w:hint="eastAsia"/>
          <w:sz w:val="24"/>
        </w:rPr>
        <w:t>。</w:t>
      </w:r>
    </w:p>
    <w:p>
      <w:pPr>
        <w:pStyle w:val="style0"/>
        <w:spacing w:lineRule="auto" w:line="360"/>
        <w:ind w:firstLine="482" w:firstLineChars="200"/>
        <w:rPr>
          <w:rFonts w:ascii="宋体" w:eastAsia="宋体" w:hAnsi="宋体"/>
          <w:b/>
          <w:sz w:val="24"/>
        </w:rPr>
      </w:pPr>
      <w:r>
        <w:rPr>
          <w:rFonts w:ascii="宋体" w:eastAsia="宋体" w:hAnsi="宋体" w:hint="eastAsia"/>
          <w:b/>
          <w:sz w:val="24"/>
        </w:rPr>
        <w:t>六、联系方式</w:t>
      </w:r>
    </w:p>
    <w:p>
      <w:pPr>
        <w:pStyle w:val="style0"/>
        <w:spacing w:lineRule="auto" w:line="360"/>
        <w:ind w:firstLine="480" w:firstLineChars="200"/>
        <w:rPr>
          <w:rFonts w:ascii="宋体" w:eastAsia="宋体" w:hAnsi="宋体"/>
          <w:sz w:val="24"/>
        </w:rPr>
      </w:pPr>
      <w:r>
        <w:rPr>
          <w:rFonts w:ascii="宋体" w:eastAsia="宋体" w:hAnsi="宋体" w:hint="eastAsia"/>
          <w:sz w:val="24"/>
        </w:rPr>
        <w:t>招标联系人</w:t>
      </w:r>
      <w:r>
        <w:rPr>
          <w:rFonts w:ascii="宋体" w:eastAsia="宋体" w:hAnsi="宋体"/>
          <w:sz w:val="24"/>
        </w:rPr>
        <w:t>:</w:t>
      </w:r>
      <w:r>
        <w:rPr>
          <w:rFonts w:ascii="宋体" w:eastAsia="宋体" w:hAnsi="宋体" w:hint="eastAsia"/>
          <w:sz w:val="24"/>
        </w:rPr>
        <w:t>黄</w:t>
      </w:r>
      <w:r>
        <w:rPr>
          <w:rFonts w:ascii="宋体" w:eastAsia="宋体" w:hAnsi="宋体"/>
          <w:sz w:val="24"/>
        </w:rPr>
        <w:t>老师</w:t>
      </w:r>
    </w:p>
    <w:p>
      <w:pPr>
        <w:pStyle w:val="style0"/>
        <w:spacing w:lineRule="auto" w:line="360"/>
        <w:ind w:firstLine="480" w:firstLineChars="200"/>
        <w:rPr>
          <w:rFonts w:ascii="宋体" w:eastAsia="宋体" w:hAnsi="宋体"/>
          <w:sz w:val="24"/>
        </w:rPr>
      </w:pPr>
      <w:r>
        <w:rPr>
          <w:rFonts w:ascii="宋体" w:eastAsia="宋体" w:hAnsi="宋体" w:hint="eastAsia"/>
          <w:sz w:val="24"/>
        </w:rPr>
        <w:t>联系电话</w:t>
      </w:r>
      <w:r>
        <w:rPr>
          <w:rFonts w:ascii="宋体" w:eastAsia="宋体" w:hAnsi="宋体"/>
          <w:sz w:val="24"/>
        </w:rPr>
        <w:t>:13978021560</w:t>
      </w:r>
    </w:p>
    <w:p>
      <w:pPr>
        <w:pStyle w:val="style0"/>
        <w:spacing w:lineRule="auto" w:line="360"/>
        <w:ind w:firstLine="480" w:firstLineChars="200"/>
        <w:rPr>
          <w:rFonts w:ascii="宋体" w:eastAsia="宋体" w:hAnsi="宋体"/>
          <w:sz w:val="24"/>
        </w:rPr>
      </w:pPr>
      <w:r>
        <w:rPr>
          <w:rFonts w:ascii="宋体" w:eastAsia="宋体" w:hAnsi="宋体"/>
          <w:sz w:val="24"/>
        </w:rPr>
        <w:t>0772-2082028</w:t>
      </w:r>
    </w:p>
    <w:p>
      <w:pPr>
        <w:pStyle w:val="style0"/>
        <w:spacing w:lineRule="auto" w:line="360"/>
        <w:ind w:firstLine="480" w:firstLineChars="200"/>
        <w:rPr>
          <w:rFonts w:ascii="宋体" w:eastAsia="宋体" w:hAnsi="宋体"/>
          <w:sz w:val="24"/>
        </w:rPr>
      </w:pPr>
      <w:r>
        <w:rPr>
          <w:rFonts w:ascii="宋体" w:eastAsia="宋体" w:hAnsi="宋体" w:hint="eastAsia"/>
          <w:sz w:val="24"/>
        </w:rPr>
        <w:t>地址</w:t>
      </w:r>
      <w:r>
        <w:rPr>
          <w:rFonts w:ascii="宋体" w:eastAsia="宋体" w:hAnsi="宋体"/>
          <w:sz w:val="24"/>
        </w:rPr>
        <w:t>:三份标书统-密封后送达柳州市交通学校督导</w:t>
      </w:r>
      <w:r>
        <w:rPr>
          <w:rFonts w:ascii="宋体" w:eastAsia="宋体" w:hAnsi="宋体" w:hint="eastAsia"/>
          <w:sz w:val="24"/>
        </w:rPr>
        <w:t>办公</w:t>
      </w:r>
      <w:r>
        <w:rPr>
          <w:rFonts w:ascii="宋体" w:eastAsia="宋体" w:hAnsi="宋体"/>
          <w:sz w:val="24"/>
        </w:rPr>
        <w:t>室(请务必在封面上标明投标项目名称，联系人姓名和手机电话)</w:t>
      </w:r>
    </w:p>
    <w:p>
      <w:pPr>
        <w:pStyle w:val="style0"/>
        <w:spacing w:lineRule="auto" w:line="360"/>
        <w:rPr>
          <w:rFonts w:ascii="宋体" w:eastAsia="宋体" w:hAnsi="宋体"/>
          <w:sz w:val="24"/>
        </w:rPr>
      </w:pPr>
    </w:p>
    <w:p>
      <w:pPr>
        <w:pStyle w:val="style0"/>
        <w:spacing w:lineRule="auto" w:line="360"/>
        <w:ind w:firstLine="6000" w:firstLineChars="2500"/>
        <w:rPr>
          <w:rFonts w:ascii="宋体" w:eastAsia="宋体" w:hAnsi="宋体"/>
          <w:sz w:val="24"/>
        </w:rPr>
      </w:pPr>
      <w:r>
        <w:rPr>
          <w:rFonts w:ascii="宋体" w:eastAsia="宋体" w:hAnsi="宋体" w:hint="eastAsia"/>
          <w:sz w:val="24"/>
        </w:rPr>
        <w:t>柳州交通学校工会</w:t>
      </w:r>
    </w:p>
    <w:p>
      <w:pPr>
        <w:pStyle w:val="style0"/>
        <w:spacing w:lineRule="auto" w:line="360"/>
        <w:ind w:firstLine="6120" w:firstLineChars="2550"/>
        <w:rPr>
          <w:rFonts w:ascii="宋体" w:eastAsia="宋体" w:hAnsi="宋体"/>
          <w:sz w:val="24"/>
        </w:rPr>
      </w:pPr>
      <w:r>
        <w:rPr>
          <w:rFonts w:ascii="宋体" w:eastAsia="宋体" w:hAnsi="宋体"/>
          <w:sz w:val="24"/>
        </w:rPr>
        <w:t>2019年12月23日</w:t>
      </w:r>
    </w:p>
    <w:p>
      <w:pPr>
        <w:pStyle w:val="style0"/>
        <w:rPr>
          <w:rFonts w:ascii="宋体" w:eastAsia="宋体" w:hAnsi="宋体"/>
          <w:sz w:val="24"/>
        </w:rPr>
      </w:pPr>
      <w:r>
        <w:rPr>
          <w:rFonts w:ascii="宋体" w:eastAsia="宋体" w:hAnsi="宋体" w:hint="eastAsia"/>
          <w:sz w:val="24"/>
        </w:rPr>
        <w:t>附</w:t>
      </w:r>
      <w:r>
        <w:rPr>
          <w:rFonts w:ascii="宋体" w:eastAsia="宋体" w:hAnsi="宋体"/>
          <w:sz w:val="24"/>
        </w:rPr>
        <w:t>1:货物清单</w:t>
      </w:r>
    </w:p>
    <w:p>
      <w:pPr>
        <w:pStyle w:val="style0"/>
        <w:rPr>
          <w:rFonts w:ascii="宋体" w:eastAsia="宋体" w:hAnsi="宋体"/>
          <w:sz w:val="24"/>
        </w:rPr>
      </w:pPr>
    </w:p>
    <w:tbl>
      <w:tblPr>
        <w:tblStyle w:val="style105"/>
        <w:tblpPr w:leftFromText="180" w:rightFromText="180" w:topFromText="0" w:bottomFromText="0" w:vertAnchor="text" w:tblpXSpec="center" w:tblpY="1"/>
        <w:tblOverlap w:val="never"/>
        <w:tblW w:w="79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97"/>
        <w:gridCol w:w="4469"/>
        <w:gridCol w:w="1286"/>
        <w:gridCol w:w="1097"/>
      </w:tblGrid>
      <w:tr>
        <w:trPr>
          <w:cantSplit/>
          <w:trHeight w:val="555" w:hRule="atLeast"/>
        </w:trPr>
        <w:tc>
          <w:tcPr>
            <w:tcW w:w="0" w:type="auto"/>
            <w:gridSpan w:val="4"/>
            <w:tcBorders/>
            <w:shd w:val="clear" w:color="auto" w:fill="auto"/>
            <w:vAlign w:val="center"/>
          </w:tcPr>
          <w:p>
            <w:pPr>
              <w:pStyle w:val="style0"/>
              <w:spacing w:lineRule="auto" w:line="360"/>
              <w:jc w:val="center"/>
              <w:rPr>
                <w:rFonts w:ascii="Calibri" w:cs="Times New Roman" w:eastAsia="宋体" w:hAnsi="Calibri" w:hint="eastAsia"/>
                <w:b/>
                <w:sz w:val="24"/>
              </w:rPr>
            </w:pPr>
            <w:r>
              <w:rPr>
                <w:rFonts w:ascii="Calibri" w:cs="Times New Roman" w:eastAsia="宋体" w:hAnsi="Calibri" w:hint="eastAsia"/>
                <w:b/>
                <w:sz w:val="24"/>
              </w:rPr>
              <w:t>20</w:t>
            </w:r>
            <w:r>
              <w:rPr>
                <w:rFonts w:ascii="Calibri" w:cs="Times New Roman" w:eastAsia="宋体" w:hAnsi="Calibri"/>
                <w:b/>
                <w:sz w:val="24"/>
              </w:rPr>
              <w:t>20</w:t>
            </w:r>
            <w:r>
              <w:rPr>
                <w:rFonts w:ascii="Calibri" w:cs="Times New Roman" w:eastAsia="宋体" w:hAnsi="Calibri" w:hint="eastAsia"/>
                <w:b/>
                <w:sz w:val="24"/>
              </w:rPr>
              <w:t>年</w:t>
            </w:r>
            <w:r>
              <w:rPr>
                <w:rFonts w:ascii="Calibri" w:cs="Times New Roman" w:eastAsia="宋体" w:hAnsi="Calibri"/>
                <w:b/>
                <w:sz w:val="24"/>
              </w:rPr>
              <w:t>春节</w:t>
            </w:r>
            <w:r>
              <w:rPr>
                <w:rFonts w:ascii="Calibri" w:cs="Times New Roman" w:eastAsia="宋体" w:hAnsi="Calibri" w:hint="eastAsia"/>
                <w:b/>
                <w:sz w:val="24"/>
              </w:rPr>
              <w:t>慰问</w:t>
            </w:r>
            <w:r>
              <w:rPr>
                <w:rFonts w:ascii="Calibri" w:cs="Times New Roman" w:eastAsia="宋体" w:hAnsi="Calibri"/>
                <w:b/>
                <w:sz w:val="24"/>
              </w:rPr>
              <w:t>品物品种类</w:t>
            </w:r>
            <w:r>
              <w:rPr>
                <w:rFonts w:ascii="Calibri" w:cs="Times New Roman" w:eastAsia="宋体" w:hAnsi="Calibri" w:hint="eastAsia"/>
                <w:b/>
                <w:sz w:val="24"/>
              </w:rPr>
              <w:t>汇总表</w:t>
            </w:r>
          </w:p>
        </w:tc>
      </w:tr>
      <w:tr>
        <w:tblPrEx/>
        <w:trPr>
          <w:cantSplit/>
          <w:trHeight w:val="454" w:hRule="atLeast"/>
        </w:trPr>
        <w:tc>
          <w:tcPr>
            <w:tcW w:w="0" w:type="auto"/>
            <w:tcBorders/>
            <w:shd w:val="clear" w:color="auto" w:fill="auto"/>
            <w:vAlign w:val="center"/>
          </w:tcPr>
          <w:p>
            <w:pPr>
              <w:pStyle w:val="style0"/>
              <w:adjustRightInd w:val="false"/>
              <w:snapToGrid w:val="false"/>
              <w:jc w:val="center"/>
              <w:rPr>
                <w:rFonts w:ascii="Calibri" w:cs="Times New Roman" w:eastAsia="宋体" w:hAnsi="Calibri" w:hint="eastAsia"/>
                <w:sz w:val="24"/>
              </w:rPr>
            </w:pPr>
            <w:r>
              <w:rPr>
                <w:rFonts w:ascii="Calibri" w:cs="Times New Roman" w:eastAsia="宋体" w:hAnsi="Calibri" w:hint="eastAsia"/>
                <w:sz w:val="24"/>
              </w:rPr>
              <w:t>序号</w:t>
            </w:r>
          </w:p>
        </w:tc>
        <w:tc>
          <w:tcPr>
            <w:tcW w:w="0" w:type="auto"/>
            <w:tcBorders/>
            <w:shd w:val="clear" w:color="auto" w:fill="auto"/>
            <w:vAlign w:val="center"/>
          </w:tcPr>
          <w:p>
            <w:pPr>
              <w:pStyle w:val="style0"/>
              <w:adjustRightInd w:val="false"/>
              <w:snapToGrid w:val="false"/>
              <w:jc w:val="center"/>
              <w:rPr>
                <w:rFonts w:ascii="Calibri" w:cs="Times New Roman" w:eastAsia="宋体" w:hAnsi="Calibri" w:hint="eastAsia"/>
                <w:sz w:val="24"/>
              </w:rPr>
            </w:pPr>
            <w:r>
              <w:rPr>
                <w:rFonts w:ascii="Calibri" w:cs="Times New Roman" w:eastAsia="宋体" w:hAnsi="Calibri" w:hint="eastAsia"/>
                <w:sz w:val="24"/>
              </w:rPr>
              <w:t>物品</w:t>
            </w:r>
            <w:r>
              <w:rPr>
                <w:rFonts w:ascii="Calibri" w:cs="Times New Roman" w:eastAsia="宋体" w:hAnsi="Calibri"/>
                <w:sz w:val="24"/>
              </w:rPr>
              <w:t>名称</w:t>
            </w:r>
          </w:p>
        </w:tc>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r>
              <w:rPr>
                <w:rFonts w:ascii="Calibri" w:cs="Times New Roman" w:eastAsia="宋体" w:hAnsi="Calibri" w:hint="eastAsia"/>
                <w:sz w:val="24"/>
              </w:rPr>
              <w:t>数量</w:t>
            </w:r>
          </w:p>
        </w:tc>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r>
              <w:rPr>
                <w:rFonts w:ascii="Calibri" w:cs="Times New Roman" w:eastAsia="宋体" w:hAnsi="Calibri" w:hint="eastAsia"/>
                <w:sz w:val="24"/>
              </w:rPr>
              <w:t>备注</w:t>
            </w:r>
          </w:p>
        </w:tc>
      </w:tr>
      <w:tr>
        <w:tblPrEx/>
        <w:trPr>
          <w:cantSplit/>
          <w:trHeight w:val="454" w:hRule="atLeast"/>
        </w:trPr>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r>
              <w:rPr>
                <w:rFonts w:ascii="Calibri" w:cs="Times New Roman" w:eastAsia="宋体" w:hAnsi="Calibri" w:hint="eastAsia"/>
                <w:sz w:val="24"/>
              </w:rPr>
              <w:t>1</w:t>
            </w:r>
          </w:p>
        </w:tc>
        <w:tc>
          <w:tcPr>
            <w:tcW w:w="0" w:type="auto"/>
            <w:tcBorders/>
            <w:shd w:val="clear" w:color="auto" w:fill="auto"/>
            <w:vAlign w:val="center"/>
          </w:tcPr>
          <w:p>
            <w:pPr>
              <w:pStyle w:val="style0"/>
              <w:adjustRightInd w:val="false"/>
              <w:snapToGrid w:val="false"/>
              <w:jc w:val="center"/>
              <w:rPr>
                <w:rFonts w:ascii="Calibri" w:cs="Times New Roman" w:eastAsia="宋体" w:hAnsi="Calibri" w:hint="eastAsia"/>
                <w:sz w:val="24"/>
              </w:rPr>
            </w:pPr>
            <w:r>
              <w:rPr>
                <w:rFonts w:ascii="Calibri" w:cs="Times New Roman" w:eastAsia="宋体" w:hAnsi="Calibri" w:hint="eastAsia"/>
                <w:sz w:val="24"/>
              </w:rPr>
              <w:t>大米</w:t>
            </w:r>
          </w:p>
        </w:tc>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r>
              <w:rPr>
                <w:rFonts w:ascii="Calibri" w:cs="Times New Roman" w:eastAsia="宋体" w:hAnsi="Calibri" w:hint="eastAsia"/>
                <w:sz w:val="24"/>
              </w:rPr>
              <w:t>10斤</w:t>
            </w:r>
          </w:p>
        </w:tc>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p>
        </w:tc>
      </w:tr>
      <w:tr>
        <w:tblPrEx/>
        <w:trPr>
          <w:cantSplit/>
          <w:trHeight w:val="454" w:hRule="atLeast"/>
        </w:trPr>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r>
              <w:rPr>
                <w:rFonts w:ascii="Calibri" w:cs="Times New Roman" w:eastAsia="宋体" w:hAnsi="Calibri" w:hint="eastAsia"/>
                <w:sz w:val="24"/>
              </w:rPr>
              <w:t>2</w:t>
            </w:r>
          </w:p>
        </w:tc>
        <w:tc>
          <w:tcPr>
            <w:tcW w:w="0" w:type="auto"/>
            <w:tcBorders/>
            <w:shd w:val="clear" w:color="auto" w:fill="auto"/>
            <w:vAlign w:val="center"/>
          </w:tcPr>
          <w:p>
            <w:pPr>
              <w:pStyle w:val="style0"/>
              <w:adjustRightInd w:val="false"/>
              <w:snapToGrid w:val="false"/>
              <w:jc w:val="center"/>
              <w:rPr>
                <w:rFonts w:ascii="Calibri" w:cs="Times New Roman" w:eastAsia="宋体" w:hAnsi="Calibri" w:hint="eastAsia"/>
                <w:sz w:val="24"/>
              </w:rPr>
            </w:pPr>
            <w:r>
              <w:rPr>
                <w:rFonts w:ascii="Calibri" w:cs="Times New Roman" w:eastAsia="宋体" w:hAnsi="Calibri" w:hint="eastAsia"/>
                <w:sz w:val="24"/>
              </w:rPr>
              <w:t>坚果</w:t>
            </w:r>
            <w:r>
              <w:rPr>
                <w:rFonts w:ascii="Calibri" w:cs="Times New Roman" w:eastAsia="宋体" w:hAnsi="Calibri"/>
                <w:sz w:val="24"/>
              </w:rPr>
              <w:t>礼包</w:t>
            </w:r>
          </w:p>
        </w:tc>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r>
              <w:rPr>
                <w:rFonts w:ascii="Calibri" w:cs="Times New Roman" w:eastAsia="宋体" w:hAnsi="Calibri" w:hint="eastAsia"/>
                <w:sz w:val="24"/>
              </w:rPr>
              <w:t>1份</w:t>
            </w:r>
          </w:p>
        </w:tc>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p>
        </w:tc>
      </w:tr>
      <w:tr>
        <w:tblPrEx/>
        <w:trPr>
          <w:cantSplit/>
          <w:trHeight w:val="454" w:hRule="atLeast"/>
        </w:trPr>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r>
              <w:rPr>
                <w:rFonts w:ascii="Calibri" w:cs="Times New Roman" w:eastAsia="宋体" w:hAnsi="Calibri" w:hint="eastAsia"/>
                <w:sz w:val="24"/>
              </w:rPr>
              <w:t>3</w:t>
            </w:r>
          </w:p>
        </w:tc>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r>
              <w:rPr>
                <w:rFonts w:ascii="Calibri" w:cs="Times New Roman" w:eastAsia="宋体" w:hAnsi="Calibri" w:hint="eastAsia"/>
                <w:sz w:val="24"/>
              </w:rPr>
              <w:t>食用油</w:t>
            </w:r>
          </w:p>
        </w:tc>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r>
              <w:rPr>
                <w:rFonts w:ascii="Calibri" w:cs="Times New Roman" w:eastAsia="宋体" w:hAnsi="Calibri" w:hint="eastAsia"/>
                <w:sz w:val="24"/>
              </w:rPr>
              <w:t>1份</w:t>
            </w:r>
          </w:p>
        </w:tc>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p>
        </w:tc>
      </w:tr>
      <w:tr>
        <w:tblPrEx/>
        <w:trPr>
          <w:cantSplit/>
          <w:trHeight w:val="454" w:hRule="atLeast"/>
        </w:trPr>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r>
              <w:rPr>
                <w:rFonts w:ascii="Calibri" w:cs="Times New Roman" w:eastAsia="宋体" w:hAnsi="Calibri" w:hint="eastAsia"/>
                <w:sz w:val="24"/>
              </w:rPr>
              <w:t>4</w:t>
            </w:r>
          </w:p>
        </w:tc>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r>
              <w:rPr>
                <w:rFonts w:ascii="Calibri" w:cs="Times New Roman" w:eastAsia="宋体" w:hAnsi="Calibri" w:hint="eastAsia"/>
                <w:sz w:val="24"/>
              </w:rPr>
              <w:t>水果</w:t>
            </w:r>
          </w:p>
        </w:tc>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r>
              <w:rPr>
                <w:rFonts w:ascii="Calibri" w:cs="Times New Roman" w:eastAsia="宋体" w:hAnsi="Calibri" w:hint="eastAsia"/>
                <w:sz w:val="24"/>
              </w:rPr>
              <w:t>1份</w:t>
            </w:r>
          </w:p>
        </w:tc>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p>
        </w:tc>
      </w:tr>
      <w:tr>
        <w:tblPrEx/>
        <w:trPr>
          <w:cantSplit/>
          <w:trHeight w:val="454" w:hRule="atLeast"/>
        </w:trPr>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r>
              <w:rPr>
                <w:rFonts w:ascii="Calibri" w:cs="Times New Roman" w:eastAsia="宋体" w:hAnsi="Calibri" w:hint="eastAsia"/>
                <w:sz w:val="24"/>
              </w:rPr>
              <w:t>5</w:t>
            </w:r>
          </w:p>
        </w:tc>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r>
              <w:rPr>
                <w:rFonts w:ascii="Calibri" w:cs="Times New Roman" w:eastAsia="宋体" w:hAnsi="Calibri" w:hint="eastAsia"/>
                <w:sz w:val="24"/>
              </w:rPr>
              <w:t>纸巾(抽纸</w:t>
            </w:r>
            <w:r>
              <w:rPr>
                <w:rFonts w:ascii="Calibri" w:cs="Times New Roman" w:eastAsia="宋体" w:hAnsi="Calibri"/>
                <w:sz w:val="24"/>
              </w:rPr>
              <w:t>+纸筒</w:t>
            </w:r>
            <w:r>
              <w:rPr>
                <w:rFonts w:ascii="Calibri" w:cs="Times New Roman" w:eastAsia="宋体" w:hAnsi="Calibri" w:hint="eastAsia"/>
                <w:sz w:val="24"/>
              </w:rPr>
              <w:t>)</w:t>
            </w:r>
          </w:p>
        </w:tc>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r>
              <w:rPr>
                <w:rFonts w:ascii="Calibri" w:cs="Times New Roman" w:eastAsia="宋体" w:hAnsi="Calibri" w:hint="eastAsia"/>
                <w:sz w:val="24"/>
              </w:rPr>
              <w:t>1份</w:t>
            </w:r>
          </w:p>
        </w:tc>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p>
        </w:tc>
      </w:tr>
      <w:tr>
        <w:tblPrEx/>
        <w:trPr>
          <w:cantSplit/>
          <w:trHeight w:val="454" w:hRule="atLeast"/>
        </w:trPr>
        <w:tc>
          <w:tcPr>
            <w:tcW w:w="0" w:type="auto"/>
            <w:tcBorders/>
            <w:shd w:val="clear" w:color="auto" w:fill="auto"/>
            <w:vAlign w:val="center"/>
          </w:tcPr>
          <w:p>
            <w:pPr>
              <w:pStyle w:val="style0"/>
              <w:adjustRightInd w:val="false"/>
              <w:snapToGrid w:val="false"/>
              <w:jc w:val="center"/>
              <w:rPr>
                <w:rFonts w:ascii="Calibri" w:cs="Times New Roman" w:eastAsia="宋体" w:hAnsi="Calibri" w:hint="eastAsia"/>
                <w:sz w:val="24"/>
              </w:rPr>
            </w:pPr>
            <w:r>
              <w:rPr>
                <w:rFonts w:ascii="Calibri" w:cs="Times New Roman" w:eastAsia="宋体" w:hAnsi="Calibri"/>
                <w:sz w:val="24"/>
              </w:rPr>
              <w:t>6</w:t>
            </w:r>
          </w:p>
        </w:tc>
        <w:tc>
          <w:tcPr>
            <w:tcW w:w="0" w:type="auto"/>
            <w:tcBorders/>
            <w:shd w:val="clear" w:color="auto" w:fill="auto"/>
            <w:vAlign w:val="center"/>
          </w:tcPr>
          <w:p>
            <w:pPr>
              <w:pStyle w:val="style0"/>
              <w:adjustRightInd w:val="false"/>
              <w:snapToGrid w:val="false"/>
              <w:jc w:val="center"/>
              <w:rPr>
                <w:rFonts w:ascii="Calibri" w:cs="Times New Roman" w:eastAsia="宋体" w:hAnsi="Calibri" w:hint="eastAsia"/>
                <w:sz w:val="24"/>
              </w:rPr>
            </w:pPr>
            <w:r>
              <w:rPr>
                <w:rFonts w:ascii="Calibri" w:cs="Times New Roman" w:eastAsia="宋体" w:hAnsi="Calibri" w:hint="eastAsia"/>
                <w:sz w:val="24"/>
              </w:rPr>
              <w:t>其他</w:t>
            </w:r>
          </w:p>
        </w:tc>
        <w:tc>
          <w:tcPr>
            <w:tcW w:w="0" w:type="auto"/>
            <w:tcBorders/>
            <w:shd w:val="clear" w:color="auto" w:fill="auto"/>
            <w:vAlign w:val="center"/>
          </w:tcPr>
          <w:p>
            <w:pPr>
              <w:pStyle w:val="style0"/>
              <w:adjustRightInd w:val="false"/>
              <w:snapToGrid w:val="false"/>
              <w:jc w:val="center"/>
              <w:rPr>
                <w:rFonts w:ascii="Calibri" w:cs="Times New Roman" w:eastAsia="宋体" w:hAnsi="Calibri" w:hint="eastAsia"/>
                <w:sz w:val="24"/>
              </w:rPr>
            </w:pPr>
          </w:p>
        </w:tc>
        <w:tc>
          <w:tcPr>
            <w:tcW w:w="0" w:type="auto"/>
            <w:tcBorders/>
            <w:shd w:val="clear" w:color="auto" w:fill="auto"/>
            <w:vAlign w:val="center"/>
          </w:tcPr>
          <w:p>
            <w:pPr>
              <w:pStyle w:val="style0"/>
              <w:adjustRightInd w:val="false"/>
              <w:snapToGrid w:val="false"/>
              <w:jc w:val="center"/>
              <w:rPr>
                <w:rFonts w:ascii="Calibri" w:cs="Times New Roman" w:eastAsia="宋体" w:hAnsi="Calibri"/>
                <w:sz w:val="24"/>
              </w:rPr>
            </w:pPr>
          </w:p>
        </w:tc>
      </w:tr>
    </w:tbl>
    <w:p>
      <w:pPr>
        <w:pStyle w:val="style0"/>
        <w:rPr>
          <w:rFonts w:ascii="宋体" w:eastAsia="宋体" w:hAnsi="宋体"/>
          <w:sz w:val="24"/>
        </w:rPr>
      </w:pPr>
    </w:p>
    <w:p>
      <w:pPr>
        <w:pStyle w:val="style0"/>
        <w:adjustRightInd w:val="false"/>
        <w:snapToGrid w:val="false"/>
        <w:jc w:val="center"/>
        <w:rPr>
          <w:sz w:val="24"/>
        </w:rPr>
      </w:pPr>
    </w:p>
    <w:sectPr>
      <w:footerReference w:type="default" r:id="rId2"/>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等线">
    <w:altName w:val="Arial Unicode MS"/>
    <w:panose1 w:val="02010600030001010101"/>
    <w:charset w:val="86"/>
    <w:family w:val="auto"/>
    <w:pitch w:val="default"/>
    <w:sig w:usb0="00000000" w:usb1="00000000" w:usb2="00000016" w:usb3="00000000" w:csb0="0004000F" w:csb1="00000000"/>
  </w:font>
  <w:font w:name="Arial Unicode MS">
    <w:altName w:val="Arial Unicode MS"/>
    <w:panose1 w:val="020b0604020002020204"/>
    <w:charset w:val="86"/>
    <w:family w:val="auto"/>
    <w:pitch w:val="default"/>
    <w:sig w:usb0="FFFFFFFF" w:usb1="E9FFFFFF" w:usb2="0000003F" w:usb3="00000000" w:csb0="603F01FF" w:csb1="FFFF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rFonts w:hint="eastAsia"/>
      </w:rPr>
      <w:t>第</w:t>
    </w:r>
    <w:r>
      <w:rPr/>
      <w:fldChar w:fldCharType="begin"/>
    </w:r>
    <w:r>
      <w:instrText>PAGE   \* MERGEFORMAT</w:instrText>
    </w:r>
    <w:r>
      <w:rPr/>
      <w:fldChar w:fldCharType="separate"/>
    </w:r>
    <w:r>
      <w:rPr>
        <w:lang w:val="zh-CN"/>
      </w:rPr>
      <w:t>2</w:t>
    </w:r>
    <w:r>
      <w:rPr/>
      <w:fldChar w:fldCharType="end"/>
    </w:r>
    <w:r>
      <w:rPr>
        <w:rFonts w:hint="eastAsia"/>
      </w:rPr>
      <w:t>页  共3页</w:t>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rPr>
    </w:rPrDefault>
    <w:pPrDefault>
      <w:pPr/>
    </w:pPrDefault>
  </w:docDefaults>
  <w:style w:type="paragraph" w:default="1" w:styleId="style0">
    <w:name w:val="Normal"/>
    <w:next w:val="style0"/>
    <w:qFormat/>
    <w:uiPriority w:val="0"/>
    <w:pPr>
      <w:widowControl w:val="false"/>
      <w:jc w:val="both"/>
    </w:pPr>
    <w:rPr>
      <w:rFonts w:ascii="等线" w:cs="宋体" w:eastAsia="等线" w:hAnsi="等线"/>
      <w:kern w:val="2"/>
      <w:sz w:val="21"/>
      <w:szCs w:val="22"/>
      <w:lang w:val="en-US" w:bidi="ar-SA" w:eastAsia="zh-CN"/>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table" w:styleId="style154">
    <w:name w:val="Table Grid"/>
    <w:basedOn w:val="style105"/>
    <w:next w:val="style154"/>
    <w:qFormat/>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097">
    <w:name w:val="页眉 字符"/>
    <w:basedOn w:val="style65"/>
    <w:next w:val="style4097"/>
    <w:link w:val="style31"/>
    <w:qFormat/>
    <w:uiPriority w:val="99"/>
    <w:rPr>
      <w:sz w:val="18"/>
      <w:szCs w:val="18"/>
    </w:rPr>
  </w:style>
  <w:style w:type="character" w:customStyle="1" w:styleId="style4098">
    <w:name w:val="页脚 字符"/>
    <w:basedOn w:val="style65"/>
    <w:next w:val="style4098"/>
    <w:link w:val="style32"/>
    <w:qFormat/>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Words>1240</Words>
  <Pages>3</Pages>
  <Characters>1327</Characters>
  <Application>WPS Office</Application>
  <DocSecurity>0</DocSecurity>
  <Paragraphs>127</Paragraphs>
  <ScaleCrop>false</ScaleCrop>
  <Company>jx</Company>
  <LinksUpToDate>false</LinksUpToDate>
  <CharactersWithSpaces>1417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2019-12-23T07:16:00Z</dcterms:created>
  <dc:creator>ccl</dc:creator>
  <lastModifiedBy>YAL-AL00</lastModifiedBy>
  <dcterms:modified xsi:type="dcterms:W3CDTF">2019-12-25T08:25:46Z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